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2B" w:rsidRPr="002D7F0F" w:rsidRDefault="00E2302B" w:rsidP="00E2302B">
      <w:pPr>
        <w:spacing w:after="160" w:line="252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1E337D">
        <w:rPr>
          <w:rFonts w:eastAsiaTheme="minorHAnsi"/>
          <w:b/>
          <w:sz w:val="28"/>
          <w:szCs w:val="28"/>
          <w:lang w:eastAsia="en-US"/>
        </w:rPr>
        <w:t xml:space="preserve">Заседание от </w:t>
      </w:r>
      <w:r w:rsidR="00732219">
        <w:rPr>
          <w:rFonts w:eastAsiaTheme="minorHAnsi"/>
          <w:b/>
          <w:sz w:val="28"/>
          <w:szCs w:val="28"/>
          <w:lang w:eastAsia="en-US"/>
        </w:rPr>
        <w:t>31 октября</w:t>
      </w:r>
      <w:r w:rsidRPr="002D7F0F">
        <w:rPr>
          <w:rFonts w:eastAsiaTheme="minorHAnsi"/>
          <w:b/>
          <w:sz w:val="28"/>
          <w:szCs w:val="28"/>
          <w:lang w:eastAsia="en-US"/>
        </w:rPr>
        <w:t xml:space="preserve"> 2022 года.</w:t>
      </w:r>
    </w:p>
    <w:p w:rsidR="00E2302B" w:rsidRPr="001E337D" w:rsidRDefault="00732219" w:rsidP="00E23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Советом директоров Общества от 31 октября</w:t>
      </w:r>
      <w:r w:rsidR="00E2302B" w:rsidRPr="002D7F0F">
        <w:rPr>
          <w:sz w:val="28"/>
          <w:szCs w:val="28"/>
        </w:rPr>
        <w:t xml:space="preserve"> 2022 года, в соответствии</w:t>
      </w:r>
      <w:r w:rsidR="00E2302B" w:rsidRPr="001E337D">
        <w:rPr>
          <w:sz w:val="28"/>
          <w:szCs w:val="28"/>
        </w:rPr>
        <w:t xml:space="preserve"> с Уставом </w:t>
      </w:r>
      <w:r w:rsidR="00E2302B" w:rsidRPr="001E337D">
        <w:rPr>
          <w:rFonts w:eastAsiaTheme="minorHAnsi"/>
          <w:sz w:val="28"/>
          <w:szCs w:val="28"/>
          <w:lang w:eastAsia="en-US"/>
        </w:rPr>
        <w:t>АО «Самрук-Энерго»</w:t>
      </w:r>
      <w:r w:rsidR="00E2302B" w:rsidRPr="001E337D">
        <w:rPr>
          <w:sz w:val="28"/>
          <w:szCs w:val="28"/>
        </w:rPr>
        <w:t xml:space="preserve">, Положением о Совете директоров </w:t>
      </w:r>
      <w:r w:rsidR="00E2302B" w:rsidRPr="001E337D">
        <w:rPr>
          <w:rFonts w:eastAsiaTheme="minorHAnsi"/>
          <w:sz w:val="28"/>
          <w:szCs w:val="28"/>
          <w:lang w:eastAsia="en-US"/>
        </w:rPr>
        <w:t>АО «Самрук-Энерго»</w:t>
      </w:r>
      <w:r w:rsidR="00E2302B" w:rsidRPr="001E337D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  Об утверждении отчета о работе Службы «Комплаенс» Общества за 3 квартал 2022 года. О премировании работников Службы «Комплаенс» по итогам работы за 3 квартал 2022 года.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Отчет о деятельности Службы внутреннего аудита Общества за 3 квартал 2022 года. Премирование работников Службы внутреннего аудита Общества по итогам 3 квартала 2022 года.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Об определении размера должностного оклада Омбудсмена Общества.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Об утверждении Отчета о деятельности Омбудсмена и оценки эффективности достигнутых целей за 3 квартал 2022 года. Оценка результативности и премирование Омбудсмена по итогам 3 квартала 2022 года.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Оценка эффективности деятельности Корпоративного секретаря по итогам работы за 3 квартал 2022 года. О премировании корпоративного секретаря Общества по итогам работы за 3 квартал 2022 года.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Об утверждении Плана работ проведения внутреннего анализа коррупционных рисков в Обществе и его дочерних и зависимых организациях.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Об утверждении Программы для повышения осведомленности о вопросах комплаенс в Обществе и в ее дочерних и зависимых организациях.  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Об утверждении Плана мероприятий по митигации коррупционных рисков в ТОО «Богатырь Комир».   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 внесении изменений и дополнений в Положение Службы «Комплаенс» Общества и должностные инструкции руководителя и комплаенс-офицера Службы «Комплаенс» Общества.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 рассмотрении отчета об исполнении Плана мероприятий по совершенствованию корпоративного управления Общества на 2022-2023гг. по итогам 3 квартала 2022 года.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 рассмотрении Отчета о заключенных сделках, в совершении которых имеется заинтересованность, решения по которым принимались Правлением Общества в 3 квартале 2022 года.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Об определении позиции для представителей Общества по вопросу повестки дня внеочередного общего собрания </w:t>
      </w:r>
      <w:proofErr w:type="gramStart"/>
      <w:r w:rsidRPr="00732219">
        <w:rPr>
          <w:rFonts w:eastAsiaTheme="minorHAnsi"/>
          <w:sz w:val="28"/>
          <w:szCs w:val="28"/>
          <w:lang w:eastAsia="en-US"/>
        </w:rPr>
        <w:t>акционеров  АО</w:t>
      </w:r>
      <w:proofErr w:type="gramEnd"/>
      <w:r w:rsidRPr="00732219">
        <w:rPr>
          <w:rFonts w:eastAsiaTheme="minorHAnsi"/>
          <w:sz w:val="28"/>
          <w:szCs w:val="28"/>
          <w:lang w:eastAsia="en-US"/>
        </w:rPr>
        <w:t xml:space="preserve"> «СЭГРЭС-2»: «Об утверждении дополнений и изменений, вносимых в Устав АО «СЭГРЭС-2».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Об определении позиции для представителей Общества по вопросу повестки дня внеочередного общего собрания акционеров АО «СЭГРЭС-2»: «Об утверждении изменений и дополнений, вносимых в Положение о Совете директоров АО «СЭГРЭС-2».</w:t>
      </w:r>
    </w:p>
    <w:p w:rsidR="00732219" w:rsidRPr="00732219" w:rsidRDefault="00732219" w:rsidP="007322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32219">
        <w:rPr>
          <w:rFonts w:eastAsiaTheme="minorHAnsi"/>
          <w:sz w:val="28"/>
          <w:szCs w:val="28"/>
          <w:lang w:eastAsia="en-US"/>
        </w:rPr>
        <w:t xml:space="preserve"> О некоторых вопросах Комитетов Совета директоров Общества.</w:t>
      </w:r>
    </w:p>
    <w:p w:rsidR="00732219" w:rsidRPr="00732219" w:rsidRDefault="00732219" w:rsidP="00732219">
      <w:pPr>
        <w:ind w:left="720" w:firstLine="567"/>
        <w:contextualSpacing/>
        <w:jc w:val="both"/>
        <w:rPr>
          <w:sz w:val="28"/>
          <w:szCs w:val="28"/>
        </w:rPr>
      </w:pPr>
    </w:p>
    <w:p w:rsidR="00CD1955" w:rsidRDefault="00CD1955"/>
    <w:p w:rsidR="00E2302B" w:rsidRPr="00E2302B" w:rsidRDefault="00E2302B" w:rsidP="00E2302B">
      <w:pPr>
        <w:ind w:firstLine="567"/>
        <w:rPr>
          <w:b/>
          <w:sz w:val="28"/>
          <w:szCs w:val="28"/>
        </w:rPr>
      </w:pPr>
      <w:r w:rsidRPr="00E2302B">
        <w:rPr>
          <w:b/>
          <w:sz w:val="28"/>
          <w:szCs w:val="28"/>
        </w:rPr>
        <w:t>Голосовали следующие члены Совета директоров:</w:t>
      </w:r>
    </w:p>
    <w:p w:rsidR="00E2302B" w:rsidRPr="00E2302B" w:rsidRDefault="00E2302B" w:rsidP="00E2302B">
      <w:pPr>
        <w:ind w:firstLine="567"/>
        <w:rPr>
          <w:b/>
          <w:sz w:val="28"/>
          <w:szCs w:val="28"/>
        </w:rPr>
      </w:pPr>
      <w:r w:rsidRPr="00E2302B">
        <w:rPr>
          <w:b/>
          <w:sz w:val="28"/>
          <w:szCs w:val="28"/>
        </w:rPr>
        <w:t xml:space="preserve">Казутин Н.Ю., Репин А.Ю., Жаркешов Е.С., Огай В.Д., </w:t>
      </w:r>
    </w:p>
    <w:p w:rsidR="00E2302B" w:rsidRPr="00E2302B" w:rsidRDefault="00732219" w:rsidP="00E2302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Жубаев А.С.</w:t>
      </w:r>
      <w:r w:rsidR="00E2302B" w:rsidRPr="00E2302B">
        <w:rPr>
          <w:b/>
          <w:sz w:val="28"/>
          <w:szCs w:val="28"/>
        </w:rPr>
        <w:t>, Кашкинбеков А.К.</w:t>
      </w:r>
      <w:r>
        <w:rPr>
          <w:b/>
          <w:sz w:val="28"/>
          <w:szCs w:val="28"/>
        </w:rPr>
        <w:t>, Тютебаев С.С.</w:t>
      </w:r>
      <w:bookmarkStart w:id="0" w:name="_GoBack"/>
      <w:bookmarkEnd w:id="0"/>
    </w:p>
    <w:p w:rsidR="00E2302B" w:rsidRPr="00E2302B" w:rsidRDefault="00E2302B" w:rsidP="00E2302B">
      <w:pPr>
        <w:ind w:firstLine="567"/>
        <w:rPr>
          <w:b/>
          <w:sz w:val="28"/>
          <w:szCs w:val="28"/>
        </w:rPr>
      </w:pPr>
    </w:p>
    <w:p w:rsidR="00E2302B" w:rsidRDefault="00E2302B"/>
    <w:sectPr w:rsidR="00E2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2B"/>
    <w:rsid w:val="00732219"/>
    <w:rsid w:val="00CD1955"/>
    <w:rsid w:val="00E2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9512-CBB2-410B-98D7-F872638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2022-09-15T06:27:00Z</dcterms:created>
  <dcterms:modified xsi:type="dcterms:W3CDTF">2022-10-22T09:52:00Z</dcterms:modified>
</cp:coreProperties>
</file>