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583E36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C51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C51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C51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7A7C51">
        <w:rPr>
          <w:rFonts w:ascii="Times New Roman" w:hAnsi="Times New Roman" w:cs="Times New Roman"/>
          <w:b/>
          <w:sz w:val="28"/>
        </w:rPr>
        <w:t xml:space="preserve">И УГЛЯ </w:t>
      </w:r>
      <w:r w:rsidRPr="007A7C51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7A7C51" w:rsidRDefault="00EF2AD8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C51">
        <w:rPr>
          <w:rFonts w:ascii="Times New Roman" w:hAnsi="Times New Roman" w:cs="Times New Roman"/>
          <w:b/>
          <w:sz w:val="28"/>
        </w:rPr>
        <w:t>ЯНВАРЬ-СЕНТЯБРЬ</w:t>
      </w:r>
      <w:r w:rsidR="00C70E44" w:rsidRPr="007A7C51">
        <w:rPr>
          <w:rFonts w:ascii="Times New Roman" w:hAnsi="Times New Roman" w:cs="Times New Roman"/>
          <w:b/>
          <w:sz w:val="28"/>
        </w:rPr>
        <w:t xml:space="preserve"> </w:t>
      </w:r>
      <w:r w:rsidR="007943E5" w:rsidRPr="007A7C51">
        <w:rPr>
          <w:rFonts w:ascii="Times New Roman" w:hAnsi="Times New Roman" w:cs="Times New Roman"/>
          <w:b/>
          <w:sz w:val="28"/>
        </w:rPr>
        <w:t>2020 ГОДА</w:t>
      </w: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C51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A7C51" w:rsidRDefault="007943E5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A7C51" w:rsidRDefault="007943E5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A7C51" w:rsidRDefault="007943E5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7A7C51" w:rsidRDefault="007943E5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7A7C51" w:rsidRDefault="00984FBA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7A7C51" w:rsidRDefault="000C314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A3A" w:rsidRPr="007A7C51" w:rsidRDefault="00F02413" w:rsidP="007A7C5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A7C51">
        <w:rPr>
          <w:rFonts w:ascii="Times New Roman" w:hAnsi="Times New Roman" w:cs="Times New Roman"/>
          <w:b/>
          <w:sz w:val="28"/>
        </w:rPr>
        <w:t xml:space="preserve">Октябрь, </w:t>
      </w:r>
      <w:r w:rsidR="00512A3A" w:rsidRPr="007A7C51">
        <w:rPr>
          <w:rFonts w:ascii="Times New Roman" w:hAnsi="Times New Roman" w:cs="Times New Roman"/>
          <w:b/>
          <w:sz w:val="28"/>
        </w:rPr>
        <w:t>2020г.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7A7C51" w:rsidRDefault="00545712" w:rsidP="007A7C51">
          <w:pPr>
            <w:pStyle w:val="afb"/>
            <w:tabs>
              <w:tab w:val="left" w:pos="0"/>
            </w:tabs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7A7C5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E04CE" w:rsidRPr="007A7C51" w:rsidRDefault="00562751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r w:rsidRPr="007A7C51">
            <w:fldChar w:fldCharType="begin"/>
          </w:r>
          <w:r w:rsidR="00545712" w:rsidRPr="007A7C51">
            <w:instrText xml:space="preserve"> TOC \o "1-3" \h \z \u </w:instrText>
          </w:r>
          <w:r w:rsidRPr="007A7C51">
            <w:fldChar w:fldCharType="separate"/>
          </w:r>
          <w:hyperlink w:anchor="_Toc34079808" w:history="1">
            <w:r w:rsidR="007E04CE" w:rsidRPr="007A7C51">
              <w:rPr>
                <w:rStyle w:val="aa"/>
                <w:b/>
              </w:rPr>
              <w:t xml:space="preserve">РАЗДЕЛ </w:t>
            </w:r>
            <w:r w:rsidR="007E04CE" w:rsidRPr="007A7C51">
              <w:rPr>
                <w:rStyle w:val="aa"/>
                <w:b/>
                <w:lang w:val="en-US"/>
              </w:rPr>
              <w:t>I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_Toc34079808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5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09" w:history="1">
            <w:r w:rsidR="007E04CE" w:rsidRPr="007A7C51">
              <w:rPr>
                <w:rStyle w:val="aa"/>
                <w:b/>
              </w:rPr>
              <w:t>1.</w:t>
            </w:r>
            <w:r w:rsidR="007E04CE" w:rsidRPr="007A7C51">
              <w:rPr>
                <w:sz w:val="22"/>
                <w:szCs w:val="22"/>
                <w:lang w:eastAsia="ru-RU"/>
              </w:rPr>
              <w:tab/>
            </w:r>
            <w:r w:rsidR="007E04CE" w:rsidRPr="007A7C51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_Toc34079809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5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0" w:history="1">
            <w:r w:rsidR="007E04CE" w:rsidRPr="007A7C51">
              <w:rPr>
                <w:rStyle w:val="aa"/>
                <w:i/>
              </w:rPr>
              <w:t>Производство электроэнергии по областям РК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_Toc34079810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5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1" w:history="1">
            <w:r w:rsidR="007E04CE" w:rsidRPr="007A7C51">
              <w:rPr>
                <w:rStyle w:val="aa"/>
                <w:i/>
              </w:rPr>
              <w:t>Производство электроэнергии связанной генерацией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_Toc34079811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6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2" w:history="1">
            <w:r w:rsidR="007E04CE" w:rsidRPr="007A7C51">
              <w:rPr>
                <w:rStyle w:val="aa"/>
                <w:b/>
              </w:rPr>
              <w:t>2.</w:t>
            </w:r>
            <w:r w:rsidR="007E04CE" w:rsidRPr="007A7C51">
              <w:rPr>
                <w:sz w:val="22"/>
                <w:szCs w:val="22"/>
                <w:lang w:eastAsia="ru-RU"/>
              </w:rPr>
              <w:tab/>
            </w:r>
            <w:r w:rsidR="007E04CE" w:rsidRPr="007A7C51">
              <w:rPr>
                <w:rStyle w:val="aa"/>
                <w:b/>
              </w:rPr>
              <w:t>Потребление электрической энергии в ЕЭС Казахстана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_Toc34079812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7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3" w:history="1">
            <w:r w:rsidR="007E04CE" w:rsidRPr="007A7C51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_Toc34079813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7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4" w:history="1">
            <w:r w:rsidR="007E04CE" w:rsidRPr="007A7C51">
              <w:rPr>
                <w:rStyle w:val="aa"/>
                <w:b/>
              </w:rPr>
              <w:t>Итоги работы промышленности за январь</w:t>
            </w:r>
            <w:r w:rsidR="007943E5" w:rsidRPr="007A7C51">
              <w:rPr>
                <w:rStyle w:val="aa"/>
                <w:b/>
              </w:rPr>
              <w:t>-</w:t>
            </w:r>
            <w:r w:rsidR="00EF2AD8" w:rsidRPr="007A7C51">
              <w:rPr>
                <w:rStyle w:val="aa"/>
                <w:b/>
              </w:rPr>
              <w:t>сентябрь</w:t>
            </w:r>
            <w:r w:rsidR="007E04CE" w:rsidRPr="007A7C51">
              <w:rPr>
                <w:rStyle w:val="aa"/>
                <w:b/>
              </w:rPr>
              <w:t xml:space="preserve"> 2020 год</w:t>
            </w:r>
            <w:r w:rsidR="00985E1F" w:rsidRPr="007A7C51">
              <w:rPr>
                <w:rStyle w:val="aa"/>
                <w:b/>
              </w:rPr>
              <w:t>а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_Toc34079814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7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5" w:history="1">
            <w:r w:rsidR="007E04CE" w:rsidRPr="007A7C51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_Toc34079815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9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6" w:history="1">
            <w:r w:rsidR="007E04CE" w:rsidRPr="007A7C51">
              <w:rPr>
                <w:rStyle w:val="aa"/>
                <w:b/>
              </w:rPr>
              <w:t>3.</w:t>
            </w:r>
            <w:r w:rsidR="007E04CE" w:rsidRPr="007A7C51">
              <w:rPr>
                <w:sz w:val="22"/>
                <w:szCs w:val="22"/>
                <w:lang w:eastAsia="ru-RU"/>
              </w:rPr>
              <w:tab/>
            </w:r>
            <w:r w:rsidR="007E04CE" w:rsidRPr="007A7C51">
              <w:rPr>
                <w:rStyle w:val="aa"/>
                <w:b/>
              </w:rPr>
              <w:t>Уголь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_Toc34079816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10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7" w:history="1">
            <w:r w:rsidR="007E04CE" w:rsidRPr="007A7C51">
              <w:rPr>
                <w:rStyle w:val="aa"/>
                <w:i/>
              </w:rPr>
              <w:t>Добыча угля АО «Самрук-Энерго»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_Toc34079817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10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8" w:history="1">
            <w:r w:rsidR="007E04CE" w:rsidRPr="007A7C51">
              <w:rPr>
                <w:rStyle w:val="aa"/>
                <w:i/>
              </w:rPr>
              <w:t>Реализация угля АО «Самрук-Энерго»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_Toc34079818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10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19" w:history="1">
            <w:r w:rsidR="007E04CE" w:rsidRPr="007A7C51">
              <w:rPr>
                <w:rStyle w:val="aa"/>
                <w:b/>
              </w:rPr>
              <w:t>4.</w:t>
            </w:r>
            <w:r w:rsidR="007E04CE" w:rsidRPr="007A7C51">
              <w:rPr>
                <w:sz w:val="22"/>
                <w:szCs w:val="22"/>
                <w:lang w:eastAsia="ru-RU"/>
              </w:rPr>
              <w:tab/>
            </w:r>
            <w:r w:rsidR="007E04CE" w:rsidRPr="007A7C51">
              <w:rPr>
                <w:rStyle w:val="aa"/>
                <w:b/>
              </w:rPr>
              <w:t>Возобновляемые источники энергии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_Toc34079819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10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0" w:history="1">
            <w:r w:rsidR="007E04CE" w:rsidRPr="007A7C51">
              <w:rPr>
                <w:rStyle w:val="aa"/>
                <w:b/>
              </w:rPr>
              <w:t>5.</w:t>
            </w:r>
            <w:r w:rsidR="007E04CE" w:rsidRPr="007A7C51">
              <w:rPr>
                <w:sz w:val="22"/>
                <w:szCs w:val="22"/>
                <w:lang w:eastAsia="ru-RU"/>
              </w:rPr>
              <w:tab/>
            </w:r>
            <w:r w:rsidR="007E04CE" w:rsidRPr="007A7C51">
              <w:rPr>
                <w:rStyle w:val="aa"/>
                <w:b/>
              </w:rPr>
              <w:t>Централизованные торги электроэнергией АО «КОРЭМ»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_Toc34079820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11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1" w:history="1">
            <w:r w:rsidR="007E04CE" w:rsidRPr="007A7C51">
              <w:rPr>
                <w:rStyle w:val="aa"/>
                <w:b/>
              </w:rPr>
              <w:t>6.</w:t>
            </w:r>
            <w:r w:rsidR="007E04CE" w:rsidRPr="007A7C51">
              <w:rPr>
                <w:sz w:val="22"/>
                <w:szCs w:val="22"/>
                <w:lang w:eastAsia="ru-RU"/>
              </w:rPr>
              <w:tab/>
            </w:r>
            <w:r w:rsidR="007E04CE" w:rsidRPr="007A7C51">
              <w:rPr>
                <w:rStyle w:val="aa"/>
                <w:b/>
              </w:rPr>
              <w:t>Экспорт-импорт электрической энергии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_Toc34079821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11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2" w:history="1">
            <w:r w:rsidR="007E04CE" w:rsidRPr="007A7C51">
              <w:rPr>
                <w:rStyle w:val="aa"/>
                <w:b/>
              </w:rPr>
              <w:t>РАЗДЕЛ II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_Toc34079822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13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3" w:history="1">
            <w:r w:rsidR="007E04CE" w:rsidRPr="007A7C51">
              <w:rPr>
                <w:rStyle w:val="aa"/>
                <w:b/>
              </w:rPr>
              <w:t>1.</w:t>
            </w:r>
            <w:r w:rsidR="007E04CE" w:rsidRPr="007A7C51">
              <w:rPr>
                <w:sz w:val="22"/>
                <w:szCs w:val="22"/>
                <w:lang w:eastAsia="ru-RU"/>
              </w:rPr>
              <w:tab/>
            </w:r>
            <w:r w:rsidR="007E04CE" w:rsidRPr="007A7C51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_Toc34079823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13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4" w:history="1">
            <w:r w:rsidR="007E04CE" w:rsidRPr="007A7C51">
              <w:rPr>
                <w:rStyle w:val="aa"/>
                <w:b/>
              </w:rPr>
              <w:t>2.</w:t>
            </w:r>
            <w:r w:rsidR="007E04CE" w:rsidRPr="007A7C51">
              <w:rPr>
                <w:sz w:val="22"/>
                <w:szCs w:val="22"/>
                <w:lang w:eastAsia="ru-RU"/>
              </w:rPr>
              <w:tab/>
            </w:r>
            <w:r w:rsidR="007E04CE" w:rsidRPr="007A7C51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_Toc34079824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13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5" w:history="1">
            <w:r w:rsidR="007E04CE" w:rsidRPr="007A7C51">
              <w:rPr>
                <w:rStyle w:val="aa"/>
                <w:b/>
              </w:rPr>
              <w:t>3.</w:t>
            </w:r>
            <w:r w:rsidR="007E04CE" w:rsidRPr="007A7C51">
              <w:rPr>
                <w:sz w:val="22"/>
                <w:szCs w:val="22"/>
                <w:lang w:eastAsia="ru-RU"/>
              </w:rPr>
              <w:tab/>
            </w:r>
            <w:r w:rsidR="007E04CE" w:rsidRPr="007A7C51">
              <w:rPr>
                <w:rStyle w:val="aa"/>
                <w:b/>
              </w:rPr>
              <w:t>Статус реализации проекта CASA-1000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_Toc34079825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14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7E04CE" w:rsidRPr="007A7C51" w:rsidRDefault="006A2723" w:rsidP="007A7C51">
          <w:pPr>
            <w:pStyle w:val="11"/>
            <w:tabs>
              <w:tab w:val="left" w:pos="0"/>
            </w:tabs>
            <w:spacing w:before="0"/>
            <w:rPr>
              <w:sz w:val="22"/>
              <w:szCs w:val="22"/>
              <w:lang w:eastAsia="ru-RU"/>
            </w:rPr>
          </w:pPr>
          <w:hyperlink w:anchor="_Toc34079826" w:history="1">
            <w:r w:rsidR="007E04CE" w:rsidRPr="007A7C51">
              <w:rPr>
                <w:rStyle w:val="aa"/>
                <w:b/>
              </w:rPr>
              <w:t>4.</w:t>
            </w:r>
            <w:r w:rsidR="007E04CE" w:rsidRPr="007A7C51">
              <w:rPr>
                <w:sz w:val="22"/>
                <w:szCs w:val="22"/>
                <w:lang w:eastAsia="ru-RU"/>
              </w:rPr>
              <w:tab/>
            </w:r>
            <w:r w:rsidR="007E04CE" w:rsidRPr="007A7C51">
              <w:rPr>
                <w:rStyle w:val="aa"/>
                <w:b/>
              </w:rPr>
              <w:t>Обзор СМИ в странах СНГ</w:t>
            </w:r>
            <w:r w:rsidR="007E04CE" w:rsidRPr="007A7C51">
              <w:rPr>
                <w:webHidden/>
              </w:rPr>
              <w:tab/>
            </w:r>
            <w:r w:rsidR="007E04CE" w:rsidRPr="007A7C51">
              <w:rPr>
                <w:webHidden/>
              </w:rPr>
              <w:fldChar w:fldCharType="begin"/>
            </w:r>
            <w:r w:rsidR="007E04CE" w:rsidRPr="007A7C51">
              <w:rPr>
                <w:webHidden/>
              </w:rPr>
              <w:instrText xml:space="preserve"> PAGEREF _Toc34079826 \h </w:instrText>
            </w:r>
            <w:r w:rsidR="007E04CE" w:rsidRPr="007A7C51">
              <w:rPr>
                <w:webHidden/>
              </w:rPr>
            </w:r>
            <w:r w:rsidR="007E04CE" w:rsidRPr="007A7C51">
              <w:rPr>
                <w:webHidden/>
              </w:rPr>
              <w:fldChar w:fldCharType="separate"/>
            </w:r>
            <w:r w:rsidR="007E04CE" w:rsidRPr="007A7C51">
              <w:rPr>
                <w:webHidden/>
              </w:rPr>
              <w:t>15</w:t>
            </w:r>
            <w:r w:rsidR="007E04CE" w:rsidRPr="007A7C51">
              <w:rPr>
                <w:webHidden/>
              </w:rPr>
              <w:fldChar w:fldCharType="end"/>
            </w:r>
          </w:hyperlink>
        </w:p>
        <w:p w:rsidR="00545712" w:rsidRPr="007A7C51" w:rsidRDefault="00562751" w:rsidP="007A7C51">
          <w:pPr>
            <w:tabs>
              <w:tab w:val="left" w:pos="0"/>
            </w:tabs>
            <w:spacing w:after="0" w:line="240" w:lineRule="auto"/>
            <w:rPr>
              <w:rFonts w:ascii="Times New Roman" w:hAnsi="Times New Roman" w:cs="Times New Roman"/>
            </w:rPr>
          </w:pPr>
          <w:r w:rsidRPr="007A7C51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7A7C51" w:rsidRDefault="00995E50" w:rsidP="007A7C51">
      <w:pPr>
        <w:pStyle w:val="11"/>
        <w:tabs>
          <w:tab w:val="left" w:pos="0"/>
        </w:tabs>
        <w:spacing w:before="0"/>
        <w:rPr>
          <w:lang w:val="en-US"/>
        </w:rPr>
      </w:pPr>
    </w:p>
    <w:p w:rsidR="001D295E" w:rsidRPr="007A7C51" w:rsidRDefault="001D295E" w:rsidP="007A7C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7A7C51" w:rsidRDefault="00F47C61" w:rsidP="007A7C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7A7C51" w:rsidRDefault="00F47C61" w:rsidP="007A7C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C71038" w:rsidRPr="007A7C51" w:rsidRDefault="00C71038" w:rsidP="007A7C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5246FD" w:rsidRPr="007A7C51" w:rsidRDefault="005246FD" w:rsidP="007A7C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A7C51">
        <w:rPr>
          <w:rFonts w:ascii="Times New Roman" w:hAnsi="Times New Roman" w:cs="Times New Roman"/>
        </w:rPr>
        <w:br w:type="page"/>
      </w:r>
    </w:p>
    <w:p w:rsidR="00CB6062" w:rsidRPr="007A7C51" w:rsidRDefault="00B94F51" w:rsidP="007A7C51">
      <w:pPr>
        <w:pStyle w:val="1"/>
        <w:tabs>
          <w:tab w:val="left" w:pos="0"/>
        </w:tabs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Toc34079808"/>
      <w:r w:rsidRPr="007A7C51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7A7C51">
        <w:rPr>
          <w:rFonts w:ascii="Times New Roman" w:hAnsi="Times New Roman" w:cs="Times New Roman"/>
          <w:b/>
          <w:color w:val="auto"/>
          <w:lang w:val="en-US"/>
        </w:rPr>
        <w:t>I</w:t>
      </w:r>
      <w:bookmarkEnd w:id="0"/>
    </w:p>
    <w:p w:rsidR="008A363F" w:rsidRPr="007A7C51" w:rsidRDefault="008A363F" w:rsidP="007A7C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682876" w:rsidRPr="007A7C51" w:rsidRDefault="00541D3A" w:rsidP="007A7C51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" w:name="_Toc34079809"/>
      <w:r w:rsidRPr="007A7C51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1"/>
    </w:p>
    <w:p w:rsidR="00F31222" w:rsidRPr="007A7C51" w:rsidRDefault="00F31222" w:rsidP="007A7C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EF2AD8" w:rsidRPr="007A7C51" w:rsidRDefault="00EF2AD8" w:rsidP="007A7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январе-сентябре 2020 года было выработано 77 756 млн. </w:t>
      </w:r>
      <w:proofErr w:type="spellStart"/>
      <w:r w:rsidRPr="007A7C51">
        <w:rPr>
          <w:rFonts w:ascii="Times New Roman" w:hAnsi="Times New Roman" w:cs="Times New Roman"/>
          <w:sz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 электроэнергии, что на 1,3% больше аналогичного периода 2019 года. Увеличение выработки наблюдалось во всех зонах ЕЭС Казахстана.</w:t>
      </w:r>
    </w:p>
    <w:p w:rsidR="00F02413" w:rsidRPr="007A7C51" w:rsidRDefault="00F02413" w:rsidP="007A7C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7A7C51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EF2AD8" w:rsidRPr="007A7C51" w:rsidTr="006A2723">
        <w:trPr>
          <w:trHeight w:val="615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2AD8" w:rsidRPr="007A7C51" w:rsidTr="006A2723">
        <w:trPr>
          <w:trHeight w:val="25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76734,1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61689,6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61628,4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-0,1%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6556,8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7709,4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7316,8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-5,1%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55,4%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243,5%</w:t>
            </w:r>
          </w:p>
        </w:tc>
      </w:tr>
      <w:tr w:rsidR="00EF2AD8" w:rsidRPr="007A7C51" w:rsidTr="006A2723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44,0%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59451,1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51262,9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51409,0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2236,1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7,7%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5156,6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-4,7%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162,6%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174,2%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44,0%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-20,2%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-5,8%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4,1%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306,8%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5468,6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-4,6%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26,5%</w:t>
            </w:r>
          </w:p>
        </w:tc>
      </w:tr>
      <w:tr w:rsidR="00EF2AD8" w:rsidRPr="007A7C51" w:rsidTr="006A2723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0,0%</w:t>
            </w:r>
          </w:p>
        </w:tc>
      </w:tr>
    </w:tbl>
    <w:p w:rsidR="00D309A9" w:rsidRPr="007A7C51" w:rsidRDefault="00D309A9" w:rsidP="007A7C5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D309A9" w:rsidRPr="007A7C51" w:rsidRDefault="00D309A9" w:rsidP="007A7C51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10196463"/>
      <w:bookmarkStart w:id="3" w:name="_Toc34125246"/>
      <w:r w:rsidRPr="007A7C51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2"/>
      <w:bookmarkEnd w:id="3"/>
    </w:p>
    <w:p w:rsidR="003663EF" w:rsidRPr="007A7C51" w:rsidRDefault="003663EF" w:rsidP="007A7C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F2AD8" w:rsidRPr="007A7C51" w:rsidRDefault="00EF2AD8" w:rsidP="007A7C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4" w:name="_Toc34079811"/>
      <w:r w:rsidRPr="007A7C51">
        <w:rPr>
          <w:rFonts w:ascii="Times New Roman" w:hAnsi="Times New Roman" w:cs="Times New Roman"/>
          <w:sz w:val="28"/>
        </w:rPr>
        <w:t xml:space="preserve">В январе-сентябре 2020 года по сравнению с аналогичным периодом 2019 года производство электроэнергии значительно увеличилось (рост 20% и выше) в </w:t>
      </w:r>
      <w:proofErr w:type="spellStart"/>
      <w:r w:rsidRPr="007A7C51">
        <w:rPr>
          <w:rFonts w:ascii="Times New Roman" w:hAnsi="Times New Roman" w:cs="Times New Roman"/>
          <w:sz w:val="28"/>
        </w:rPr>
        <w:t>Костанайской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, Туркестанской и </w:t>
      </w:r>
      <w:proofErr w:type="spellStart"/>
      <w:r w:rsidRPr="007A7C51">
        <w:rPr>
          <w:rFonts w:ascii="Times New Roman" w:hAnsi="Times New Roman" w:cs="Times New Roman"/>
          <w:sz w:val="28"/>
        </w:rPr>
        <w:t>Кызылординской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 областях. В то же время, снижение производства электроэнергии наблюдалось в </w:t>
      </w:r>
      <w:proofErr w:type="spellStart"/>
      <w:r w:rsidRPr="007A7C51">
        <w:rPr>
          <w:rFonts w:ascii="Times New Roman" w:hAnsi="Times New Roman" w:cs="Times New Roman"/>
          <w:sz w:val="28"/>
        </w:rPr>
        <w:t>Жамбылской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C51">
        <w:rPr>
          <w:rFonts w:ascii="Times New Roman" w:hAnsi="Times New Roman" w:cs="Times New Roman"/>
          <w:sz w:val="28"/>
        </w:rPr>
        <w:t>Мангистауской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, Северо-Казахстанской и Восточно-Казахстанской областях. </w:t>
      </w:r>
    </w:p>
    <w:p w:rsidR="00F02413" w:rsidRPr="007A7C51" w:rsidRDefault="00F02413" w:rsidP="007A7C5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7A7C51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F02413" w:rsidRPr="007A7C51" w:rsidTr="00F02413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F02413" w:rsidRPr="007A7C51" w:rsidTr="00F02413">
        <w:trPr>
          <w:trHeight w:val="216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2413" w:rsidRPr="007A7C51" w:rsidTr="00F0241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2 824,9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2 965,1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5,0%</w:t>
            </w:r>
          </w:p>
        </w:tc>
      </w:tr>
      <w:tr w:rsidR="00F02413" w:rsidRPr="007A7C51" w:rsidTr="00F02413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2 538,4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2 661,2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4,8%</w:t>
            </w:r>
          </w:p>
        </w:tc>
      </w:tr>
      <w:tr w:rsidR="00F02413" w:rsidRPr="007A7C51" w:rsidTr="00F02413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4 662,1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4 792,6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  <w:tr w:rsidR="00F02413" w:rsidRPr="007A7C51" w:rsidTr="00F0241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3 827,8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4 104,0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7,2%</w:t>
            </w:r>
          </w:p>
        </w:tc>
      </w:tr>
      <w:tr w:rsidR="00F02413" w:rsidRPr="007A7C51" w:rsidTr="00F0241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6 457,0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6 252,8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-3,2%</w:t>
            </w:r>
          </w:p>
        </w:tc>
      </w:tr>
      <w:tr w:rsidR="00F02413" w:rsidRPr="007A7C51" w:rsidTr="00F0241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1 517,6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1 498,4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-1,3%</w:t>
            </w:r>
          </w:p>
        </w:tc>
      </w:tr>
      <w:tr w:rsidR="00F02413" w:rsidRPr="007A7C51" w:rsidTr="00F0241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1 460,0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1 504,8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3,1%</w:t>
            </w:r>
          </w:p>
        </w:tc>
      </w:tr>
      <w:tr w:rsidR="00F02413" w:rsidRPr="007A7C51" w:rsidTr="00F0241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10 804,8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10 949,0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1,3%</w:t>
            </w:r>
          </w:p>
        </w:tc>
      </w:tr>
      <w:tr w:rsidR="00F02413" w:rsidRPr="007A7C51" w:rsidTr="00F0241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566,2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700,3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23,7%</w:t>
            </w:r>
          </w:p>
        </w:tc>
      </w:tr>
      <w:tr w:rsidR="00F02413" w:rsidRPr="007A7C51" w:rsidTr="00F02413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271,1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24,5%</w:t>
            </w:r>
          </w:p>
        </w:tc>
      </w:tr>
      <w:tr w:rsidR="00F02413" w:rsidRPr="007A7C51" w:rsidTr="00F02413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3 541,3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3 372,9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-4,8%</w:t>
            </w:r>
          </w:p>
        </w:tc>
      </w:tr>
      <w:tr w:rsidR="00F02413" w:rsidRPr="007A7C51" w:rsidTr="00F0241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27 275,5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27 225,8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-0,2%</w:t>
            </w:r>
          </w:p>
        </w:tc>
      </w:tr>
      <w:tr w:rsidR="00F02413" w:rsidRPr="007A7C51" w:rsidTr="00F0241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2 154,8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2 131,3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-1,1%</w:t>
            </w:r>
          </w:p>
        </w:tc>
      </w:tr>
      <w:tr w:rsidR="00F02413" w:rsidRPr="007A7C51" w:rsidTr="00F02413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823,7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1 012,4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22,9%</w:t>
            </w:r>
          </w:p>
        </w:tc>
      </w:tr>
      <w:tr w:rsidR="00F02413" w:rsidRPr="007A7C51" w:rsidTr="00F02413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2413" w:rsidRPr="007A7C51" w:rsidRDefault="00F02413" w:rsidP="007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68 725,2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1,1%</w:t>
            </w:r>
          </w:p>
        </w:tc>
      </w:tr>
    </w:tbl>
    <w:p w:rsidR="00D309A9" w:rsidRPr="007A7C51" w:rsidRDefault="00D309A9" w:rsidP="007A7C51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B6062" w:rsidRPr="007A7C51" w:rsidRDefault="00BC6332" w:rsidP="007A7C51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7A7C51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4"/>
    </w:p>
    <w:p w:rsidR="00F02413" w:rsidRPr="007A7C51" w:rsidRDefault="00EF2AD8" w:rsidP="007A7C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7A7C51">
        <w:rPr>
          <w:rFonts w:ascii="Times New Roman" w:hAnsi="Times New Roman" w:cs="Times New Roman"/>
          <w:sz w:val="28"/>
        </w:rPr>
        <w:t xml:space="preserve">За девять месяцев 2020 года производство электроэнергии связанной генерацией составило 38,5 млрд. </w:t>
      </w:r>
      <w:proofErr w:type="spellStart"/>
      <w:r w:rsidRPr="007A7C51">
        <w:rPr>
          <w:rFonts w:ascii="Times New Roman" w:hAnsi="Times New Roman" w:cs="Times New Roman"/>
          <w:sz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, что немного меньше аналогичного периода 2019 года (38,5 млрд. </w:t>
      </w:r>
      <w:proofErr w:type="spellStart"/>
      <w:r w:rsidRPr="007A7C51">
        <w:rPr>
          <w:rFonts w:ascii="Times New Roman" w:hAnsi="Times New Roman" w:cs="Times New Roman"/>
          <w:sz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</w:rPr>
        <w:t>). Вместе с тем, по сравнению с январем-сентябрем 2019 года доля связанной генерации незначительно уменьшилась, и составила 49,76 от общего объема производства электроэнергии в РК</w:t>
      </w:r>
    </w:p>
    <w:p w:rsidR="00C16EF2" w:rsidRPr="007A7C51" w:rsidRDefault="00C16EF2" w:rsidP="007A7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4A4775" w:rsidRPr="007A7C51" w:rsidRDefault="004A4775" w:rsidP="007A7C51">
      <w:pPr>
        <w:pStyle w:val="a3"/>
        <w:tabs>
          <w:tab w:val="left" w:pos="0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</w:rPr>
      </w:pPr>
      <w:r w:rsidRPr="007A7C51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46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559"/>
        <w:gridCol w:w="1843"/>
        <w:gridCol w:w="1100"/>
      </w:tblGrid>
      <w:tr w:rsidR="007943E5" w:rsidRPr="007A7C51" w:rsidTr="00586AF8">
        <w:trPr>
          <w:trHeight w:val="315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7A7C51" w:rsidRDefault="007943E5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7A7C51" w:rsidRDefault="007943E5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5" w:rsidRPr="007A7C51" w:rsidRDefault="007943E5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7A7C51" w:rsidRDefault="007943E5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</w:tr>
      <w:tr w:rsidR="00C70E44" w:rsidRPr="007A7C51" w:rsidTr="00586AF8">
        <w:trPr>
          <w:trHeight w:val="319"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44" w:rsidRPr="007A7C51" w:rsidRDefault="00C70E44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44" w:rsidRPr="007A7C51" w:rsidRDefault="00C70E44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7A7C51" w:rsidRDefault="00EF2AD8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7A7C51" w:rsidRDefault="00C70E44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7A7C51" w:rsidRDefault="00EF2AD8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январь-сентябрь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7A7C51" w:rsidRDefault="00C70E44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</w:tr>
      <w:tr w:rsidR="00495FA2" w:rsidRPr="007A7C51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2" w:rsidRPr="007A7C51" w:rsidRDefault="00495FA2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2" w:rsidRPr="007A7C51" w:rsidRDefault="00495FA2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13 817,2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FA2" w:rsidRPr="007A7C51" w:rsidRDefault="00495FA2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14 127,9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18,2%</w:t>
            </w:r>
          </w:p>
        </w:tc>
      </w:tr>
      <w:tr w:rsidR="00495FA2" w:rsidRPr="007A7C51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FA2" w:rsidRPr="007A7C51" w:rsidRDefault="00495FA2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FA2" w:rsidRPr="007A7C51" w:rsidRDefault="00495FA2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5 526,6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5 516,7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7,1%</w:t>
            </w:r>
          </w:p>
        </w:tc>
      </w:tr>
      <w:tr w:rsidR="00495FA2" w:rsidRPr="007A7C51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FA2" w:rsidRPr="007A7C51" w:rsidRDefault="00495FA2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FA2" w:rsidRPr="007A7C51" w:rsidRDefault="00495FA2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2 313,6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2 175,3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2,8%</w:t>
            </w:r>
          </w:p>
        </w:tc>
      </w:tr>
      <w:tr w:rsidR="00495FA2" w:rsidRPr="007A7C51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FA2" w:rsidRPr="007A7C51" w:rsidRDefault="00495FA2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5FA2" w:rsidRPr="007A7C51" w:rsidRDefault="00495FA2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2 313,6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2 175,3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2" w:rsidRPr="007A7C51" w:rsidRDefault="00495FA2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2,8%</w:t>
            </w:r>
          </w:p>
        </w:tc>
      </w:tr>
      <w:tr w:rsidR="00D446CD" w:rsidRPr="007A7C51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4 988,8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5 078,8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6,5%</w:t>
            </w:r>
          </w:p>
        </w:tc>
      </w:tr>
      <w:tr w:rsidR="00F02413" w:rsidRPr="007A7C51" w:rsidTr="00586AF8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13" w:rsidRPr="007A7C51" w:rsidRDefault="00F02413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13" w:rsidRPr="007A7C51" w:rsidRDefault="00F02413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4 430,3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6,4%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4 558,5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413" w:rsidRPr="007A7C51" w:rsidRDefault="00F02413" w:rsidP="007A7C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6,6%</w:t>
            </w:r>
          </w:p>
        </w:tc>
      </w:tr>
      <w:tr w:rsidR="00D446CD" w:rsidRPr="007A7C51" w:rsidTr="00586AF8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1 303,5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1 251,8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1,6%</w:t>
            </w:r>
          </w:p>
        </w:tc>
      </w:tr>
      <w:tr w:rsidR="00D446CD" w:rsidRPr="007A7C51" w:rsidTr="006A2723">
        <w:trPr>
          <w:trHeight w:val="31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46CD" w:rsidRPr="007A7C51" w:rsidRDefault="00D446CD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46CD" w:rsidRPr="007A7C51" w:rsidRDefault="00D446CD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3 823,8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3 587,4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4,6%</w:t>
            </w:r>
          </w:p>
        </w:tc>
      </w:tr>
      <w:tr w:rsidR="00EF2AD8" w:rsidRPr="007A7C51" w:rsidTr="00F02413">
        <w:trPr>
          <w:trHeight w:val="31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AD8" w:rsidRPr="007A7C51" w:rsidRDefault="00EF2AD8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F2AD8" w:rsidRPr="007A7C51" w:rsidRDefault="00EF2AD8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38 500,5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2AD8" w:rsidRPr="007A7C51" w:rsidRDefault="00EF2AD8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50,2%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2AD8" w:rsidRPr="007A7C51" w:rsidRDefault="00EF2AD8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38 539,1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2AD8" w:rsidRPr="007A7C51" w:rsidRDefault="00EF2AD8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49,6%</w:t>
            </w:r>
          </w:p>
        </w:tc>
      </w:tr>
    </w:tbl>
    <w:p w:rsidR="00CD400E" w:rsidRPr="007A7C51" w:rsidRDefault="00CD400E" w:rsidP="007A7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46CD" w:rsidRPr="007A7C51" w:rsidRDefault="00D446CD" w:rsidP="007A7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7A7C51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7A7C51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7A7C51">
        <w:rPr>
          <w:rFonts w:ascii="Times New Roman" w:hAnsi="Times New Roman" w:cs="Times New Roman"/>
          <w:sz w:val="28"/>
        </w:rPr>
        <w:t>» за январь</w:t>
      </w:r>
      <w:r w:rsidRPr="007A7C51">
        <w:rPr>
          <w:rFonts w:ascii="Times New Roman" w:hAnsi="Times New Roman" w:cs="Times New Roman"/>
          <w:sz w:val="28"/>
          <w:lang w:val="kk-KZ"/>
        </w:rPr>
        <w:t>-</w:t>
      </w:r>
      <w:r w:rsidRPr="007A7C51">
        <w:rPr>
          <w:rFonts w:ascii="Times New Roman" w:hAnsi="Times New Roman" w:cs="Times New Roman"/>
          <w:sz w:val="28"/>
        </w:rPr>
        <w:t xml:space="preserve">сентябрь 2020 года </w:t>
      </w:r>
      <w:r w:rsidRPr="007A7C51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7A7C51">
        <w:rPr>
          <w:rFonts w:ascii="Times New Roman" w:hAnsi="Times New Roman" w:cs="Times New Roman"/>
          <w:bCs/>
          <w:sz w:val="28"/>
          <w:szCs w:val="28"/>
          <w:lang w:val="kk-KZ"/>
        </w:rPr>
        <w:t>21 072,8</w:t>
      </w:r>
      <w:r w:rsidRPr="007A7C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C51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sz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 или снижение на -0,5% в сравнении с показателями аналогичного периода 2019 года.</w:t>
      </w:r>
    </w:p>
    <w:p w:rsidR="00C16EF2" w:rsidRPr="007A7C51" w:rsidRDefault="00C16EF2" w:rsidP="007A7C51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7A7C51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0"/>
        <w:gridCol w:w="2976"/>
        <w:gridCol w:w="1176"/>
        <w:gridCol w:w="1105"/>
        <w:gridCol w:w="1176"/>
        <w:gridCol w:w="1105"/>
        <w:gridCol w:w="1134"/>
        <w:gridCol w:w="968"/>
      </w:tblGrid>
      <w:tr w:rsidR="00D446CD" w:rsidRPr="007A7C51" w:rsidTr="006A2723">
        <w:trPr>
          <w:trHeight w:val="31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2020г 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2019/2020гг</w:t>
            </w:r>
          </w:p>
        </w:tc>
      </w:tr>
      <w:tr w:rsidR="00D446CD" w:rsidRPr="007A7C51" w:rsidTr="006A2723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январь-сентябрь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январь-сентябрь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D446CD" w:rsidRPr="007A7C51" w:rsidTr="006A272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21 185,7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27,6%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21 072,8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-112,9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-0,5%</w:t>
            </w:r>
          </w:p>
        </w:tc>
      </w:tr>
      <w:tr w:rsidR="00D446CD" w:rsidRPr="007A7C51" w:rsidTr="006A272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3 846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3 775,4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-70,6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-1,8%</w:t>
            </w:r>
          </w:p>
        </w:tc>
      </w:tr>
      <w:tr w:rsidR="00D446CD" w:rsidRPr="007A7C51" w:rsidTr="006A2723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12 397,7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16,2%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13 023,6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625,9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5,0%</w:t>
            </w:r>
          </w:p>
        </w:tc>
      </w:tr>
      <w:tr w:rsidR="00D446CD" w:rsidRPr="007A7C51" w:rsidTr="006A27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3 662,7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4,8%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3 028,5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-634,2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-17,3%</w:t>
            </w:r>
          </w:p>
        </w:tc>
      </w:tr>
      <w:tr w:rsidR="00D446CD" w:rsidRPr="007A7C51" w:rsidTr="006A27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376,4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422,3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45,9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12,2%</w:t>
            </w:r>
          </w:p>
        </w:tc>
      </w:tr>
      <w:tr w:rsidR="00D446CD" w:rsidRPr="007A7C51" w:rsidTr="006A27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794,5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706,0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-88,5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-11,1%</w:t>
            </w:r>
          </w:p>
        </w:tc>
      </w:tr>
      <w:tr w:rsidR="00D446CD" w:rsidRPr="007A7C51" w:rsidTr="006A272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Samruk-Green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Energy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0,004%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19,4%</w:t>
            </w:r>
          </w:p>
        </w:tc>
      </w:tr>
      <w:tr w:rsidR="00D446CD" w:rsidRPr="007A7C51" w:rsidTr="006A2723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CD" w:rsidRPr="007A7C51" w:rsidRDefault="00D446CD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113,7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6CD" w:rsidRPr="007A7C51" w:rsidRDefault="00D446C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7,6%</w:t>
            </w:r>
          </w:p>
        </w:tc>
      </w:tr>
    </w:tbl>
    <w:p w:rsidR="004A4775" w:rsidRPr="007A7C51" w:rsidRDefault="004A4775" w:rsidP="007A7C51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3EF" w:rsidRPr="007A7C51" w:rsidRDefault="003663EF" w:rsidP="007A7C51">
      <w:pPr>
        <w:pStyle w:val="a3"/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7A7C51" w:rsidRDefault="004A4775" w:rsidP="007A7C51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5" w:name="_Toc516129783"/>
      <w:bookmarkStart w:id="6" w:name="_Toc34079812"/>
      <w:r w:rsidRPr="007A7C51">
        <w:rPr>
          <w:rFonts w:ascii="Times New Roman" w:hAnsi="Times New Roman" w:cs="Times New Roman"/>
          <w:b/>
          <w:color w:val="auto"/>
        </w:rPr>
        <w:t>Потребление электрической энергии в ЕЭС Казахстана</w:t>
      </w:r>
      <w:bookmarkStart w:id="7" w:name="_Toc516129784"/>
      <w:bookmarkEnd w:id="5"/>
      <w:bookmarkEnd w:id="6"/>
    </w:p>
    <w:p w:rsidR="003663EF" w:rsidRPr="007A7C51" w:rsidRDefault="003663EF" w:rsidP="007A7C51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34079813"/>
    </w:p>
    <w:p w:rsidR="004A4775" w:rsidRPr="007A7C51" w:rsidRDefault="004A4775" w:rsidP="007A7C51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7A7C51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7"/>
      <w:bookmarkEnd w:id="8"/>
    </w:p>
    <w:p w:rsidR="003663EF" w:rsidRPr="007A7C51" w:rsidRDefault="003663EF" w:rsidP="007A7C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1807DB" w:rsidRPr="007A7C51" w:rsidRDefault="001807DB" w:rsidP="007A7C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9" w:name="_Toc34125251"/>
      <w:r w:rsidRPr="007A7C51">
        <w:rPr>
          <w:rFonts w:ascii="Times New Roman" w:hAnsi="Times New Roman" w:cs="Times New Roman"/>
          <w:sz w:val="28"/>
        </w:rPr>
        <w:t>По данным Системного оператора, в январе-сентябре 2020 года наблюдался рост в динамике потребления электрической энергии республики в сравнении с показателями января-сентября 2019 года на 1%. Так, в северной зоне республики потребление увеличилось на 2%, в западной на 1% и в южной на 1%.</w:t>
      </w:r>
    </w:p>
    <w:p w:rsidR="001807DB" w:rsidRPr="007A7C51" w:rsidRDefault="001807DB" w:rsidP="007A7C5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7A7C51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1807DB" w:rsidRPr="007A7C51" w:rsidTr="006A2723">
        <w:trPr>
          <w:trHeight w:val="10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Январь-сентябрь 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201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г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Январь-сентябрь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20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г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76 454,9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77 594,4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1 139,5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50 202,1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51 082,4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9 974,9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16 537,0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6 786,1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6 739,4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13 090,3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13 429,1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6 417,8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1 182,3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3 315,6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14 287,1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15 127,3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4 624,9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3 718,6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4 870,9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1 631,4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8 146,1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7 997,6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3 720,1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3 585,8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11%</w:t>
            </w:r>
          </w:p>
        </w:tc>
      </w:tr>
      <w:tr w:rsidR="001807DB" w:rsidRPr="007A7C51" w:rsidTr="006A2723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1 233,5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-3%</w:t>
            </w:r>
          </w:p>
        </w:tc>
      </w:tr>
    </w:tbl>
    <w:p w:rsidR="001807DB" w:rsidRPr="007A7C51" w:rsidRDefault="001807DB" w:rsidP="007A7C51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510196468"/>
      <w:r w:rsidRPr="007A7C51">
        <w:rPr>
          <w:rFonts w:ascii="Times New Roman" w:hAnsi="Times New Roman" w:cs="Times New Roman"/>
          <w:b/>
          <w:color w:val="auto"/>
          <w:sz w:val="28"/>
        </w:rPr>
        <w:t>Итоги работы промышленности в январе-сентябре 2020 года</w:t>
      </w:r>
      <w:bookmarkEnd w:id="10"/>
      <w:r w:rsidRPr="007A7C51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1807DB" w:rsidRPr="007A7C51" w:rsidRDefault="001807DB" w:rsidP="007A7C51">
      <w:pPr>
        <w:pStyle w:val="ab"/>
        <w:spacing w:before="0" w:beforeAutospacing="0" w:after="0" w:afterAutospacing="0"/>
        <w:contextualSpacing/>
        <w:jc w:val="center"/>
        <w:rPr>
          <w:i/>
          <w:szCs w:val="22"/>
        </w:rPr>
      </w:pPr>
      <w:r w:rsidRPr="007A7C51">
        <w:rPr>
          <w:i/>
          <w:szCs w:val="22"/>
        </w:rPr>
        <w:t>(экспресс-информация Комитета по статистике МНЭ РК)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январе-сентябре 2020г. по сравнению с январем-сентябрем 2019 года индекс промышленного производства составил 100%. Увеличение объемов производства зафиксировано в 12 регионах республики, снижение наблюдалось в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, Восточно-Казахстанской областях и в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г.Шымкент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A7C51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7A7C51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jc w:val="center"/>
        <w:rPr>
          <w:rFonts w:ascii="Times New Roman" w:hAnsi="Times New Roman"/>
        </w:rPr>
      </w:pPr>
      <w:r w:rsidRPr="007A7C51">
        <w:rPr>
          <w:rFonts w:ascii="Times New Roman" w:hAnsi="Times New Roman"/>
          <w:noProof/>
        </w:rPr>
        <w:drawing>
          <wp:inline distT="0" distB="0" distL="0" distR="0" wp14:anchorId="0859D778" wp14:editId="79ABCC8A">
            <wp:extent cx="5295265" cy="28187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81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железорудных концентратов, возросло производство муки, прутков и стержней из стали, автобусов, легковых и грузовых автомобилей (106,9%).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медных и золотосодержащих концентратов, увеличилось производство муки, портландцемента, золота в сплаве Доре, необработанного золота и тракторов (106,8%).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отмечен рост добычи урановых руд, возросло производство нерафинированного рапсового масла, обработанного молока, сливочного масла, муки и несамоходных грузовых вагонов (105,3%).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gram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увеличения добычи газового конденсата индекс промышленного производства составил 104,5%.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г.Нур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-Султан возросло производство безалкогольных напитков, аффинированного золота, дизельных локомотивов и железнодорожных вагонов (104,3%).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г.Алматы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пива, обуви из кожи, лекарств и консервных банок из черных металлов (103,2%).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кондитерских изделий и шоколада, сигарет, лекарств, монтажных панелей и приборных щитов (103,1%).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В Карагандинской области отмечен рост добычи медных концентратов, возросло производство плоского проката, аффинированного золота, черновой и рафинированной меди (102,7%).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фосфатного сырья, увеличилось производство фосфора, ортофосфорной кислоты и фосфорных удобрений (101,7%).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В Туркестанской области наблюдалось увеличение производства обработанного хлопка,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нефтянного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битума, товарного бетона и </w:t>
      </w:r>
      <w:proofErr w:type="gram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распределительных силовых щитов</w:t>
      </w:r>
      <w:proofErr w:type="gram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и коробок (100,9%).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В Павлодарской области увеличилась добыча медных концентратов, возросло производство части железнодорожных локомотивов, трамвайных моторных вагонов и подвижного состава (100,1%).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В Актюбинской области за счет увеличения объемов услуг промышленного характера индекс промышленного производства составил 100,1%.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В Восточно-Казахстанской области за счет сокращения добычи медных руд и концентратов, уменьшения производства монет и медалей индекс промышленного производства составил 98,5%.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г.Шымкент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за счет сокращения производства керосина, дизельного топлива, топочного мазута и вакуумной газойли индекс промышленного производства составил 97,7%.</w:t>
      </w: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i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Индекс промышленного производства в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составил 98,2%,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93,2% и </w:t>
      </w:r>
      <w:proofErr w:type="spellStart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 88,2% в основном за счет снижения добычи сырой нефти.</w:t>
      </w:r>
      <w:r w:rsidRPr="007A7C51">
        <w:rPr>
          <w:rFonts w:ascii="Times New Roman" w:eastAsiaTheme="minorHAnsi" w:hAnsi="Times New Roman"/>
          <w:i/>
          <w:sz w:val="28"/>
          <w:szCs w:val="22"/>
          <w:lang w:eastAsia="en-US"/>
        </w:rPr>
        <w:t xml:space="preserve"> </w:t>
      </w:r>
    </w:p>
    <w:bookmarkEnd w:id="9"/>
    <w:p w:rsidR="00070D22" w:rsidRPr="007A7C51" w:rsidRDefault="00070D22" w:rsidP="007A7C51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7A7C51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Pr="007A7C51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7A7C51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7A7C51" w:rsidRDefault="00BC7CB8" w:rsidP="007A7C51">
      <w:pPr>
        <w:pStyle w:val="OsnTxt"/>
        <w:tabs>
          <w:tab w:val="left" w:pos="0"/>
        </w:tabs>
        <w:spacing w:line="240" w:lineRule="auto"/>
        <w:ind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7A7C51" w:rsidRDefault="00070D22" w:rsidP="007A7C51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10196469"/>
      <w:bookmarkStart w:id="12" w:name="_Toc34079815"/>
      <w:bookmarkStart w:id="13" w:name="_Toc2249075"/>
      <w:r w:rsidRPr="007A7C51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11"/>
      <w:bookmarkEnd w:id="12"/>
    </w:p>
    <w:bookmarkEnd w:id="13"/>
    <w:p w:rsidR="00B601C1" w:rsidRPr="007A7C51" w:rsidRDefault="00B601C1" w:rsidP="007A7C51">
      <w:pPr>
        <w:pStyle w:val="OsnTxt"/>
        <w:tabs>
          <w:tab w:val="left" w:pos="0"/>
        </w:tabs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1807DB" w:rsidRPr="007A7C51" w:rsidRDefault="001807DB" w:rsidP="007A7C51">
      <w:pPr>
        <w:pStyle w:val="OsnTxt"/>
        <w:spacing w:line="240" w:lineRule="auto"/>
        <w:ind w:right="-284"/>
        <w:contextualSpacing/>
        <w:rPr>
          <w:rFonts w:ascii="Times New Roman" w:eastAsiaTheme="minorHAnsi" w:hAnsi="Times New Roman"/>
          <w:sz w:val="28"/>
          <w:szCs w:val="22"/>
          <w:lang w:eastAsia="en-US"/>
        </w:rPr>
      </w:pPr>
      <w:r w:rsidRPr="007A7C51">
        <w:rPr>
          <w:rFonts w:ascii="Times New Roman" w:eastAsiaTheme="minorHAnsi" w:hAnsi="Times New Roman"/>
          <w:sz w:val="28"/>
          <w:szCs w:val="22"/>
          <w:lang w:eastAsia="en-US"/>
        </w:rPr>
        <w:t xml:space="preserve">За январь-сентябрь 2020 года по отношению к аналогичному периоду 2019 года потребление электроэнергии по крупным потребителям снизилось на 2,1%. </w:t>
      </w:r>
    </w:p>
    <w:p w:rsidR="001807DB" w:rsidRPr="007A7C51" w:rsidRDefault="001807DB" w:rsidP="007A7C5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</w:rPr>
      </w:pPr>
      <w:r w:rsidRPr="007A7C51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1807DB" w:rsidRPr="007A7C51" w:rsidTr="006A2723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Январь-сентябрь</w:t>
            </w:r>
          </w:p>
        </w:tc>
      </w:tr>
      <w:tr w:rsidR="001807DB" w:rsidRPr="007A7C51" w:rsidTr="006A2723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2 747,1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2 758,3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4 327,2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4 206,3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900,6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886,8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2 123,7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2 127,0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1 255,1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1 336,3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-6%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956,7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905,7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2 411,1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2 364,4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158,3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1 653,5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1 622,0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1 455,1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1 421,4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124,3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556,7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639,3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-13%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1 370,8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1 409,1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711,7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707,9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2 812,8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2 803,3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1 053,0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1 162,9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-9%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56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3 235,4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3 838,3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-16%</w:t>
            </w:r>
          </w:p>
        </w:tc>
      </w:tr>
      <w:tr w:rsidR="001807DB" w:rsidRPr="007A7C51" w:rsidTr="006A2723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26 487,0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27 050,1</w:t>
            </w:r>
          </w:p>
        </w:tc>
        <w:tc>
          <w:tcPr>
            <w:tcW w:w="1087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-2,08%</w:t>
            </w:r>
          </w:p>
        </w:tc>
      </w:tr>
    </w:tbl>
    <w:p w:rsidR="00E56657" w:rsidRPr="007A7C51" w:rsidRDefault="00E56657" w:rsidP="007A7C51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7A7C51" w:rsidRDefault="00A32670" w:rsidP="007A7C51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4" w:name="_Toc34079816"/>
      <w:r w:rsidRPr="007A7C51">
        <w:rPr>
          <w:rFonts w:ascii="Times New Roman" w:hAnsi="Times New Roman" w:cs="Times New Roman"/>
          <w:b/>
          <w:color w:val="auto"/>
        </w:rPr>
        <w:t>Уголь</w:t>
      </w:r>
      <w:bookmarkEnd w:id="14"/>
    </w:p>
    <w:p w:rsidR="00BC7CB8" w:rsidRPr="007A7C51" w:rsidRDefault="00BC7CB8" w:rsidP="007A7C51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550F2" w:rsidRPr="007A7C51" w:rsidRDefault="004550F2" w:rsidP="007A7C51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5" w:name="_Toc510196472"/>
      <w:r w:rsidRPr="007A7C51">
        <w:rPr>
          <w:rFonts w:ascii="Times New Roman" w:hAnsi="Times New Roman" w:cs="Times New Roman"/>
          <w:i/>
          <w:color w:val="auto"/>
          <w:sz w:val="28"/>
        </w:rPr>
        <w:t>Добыча энергетического угля в Казахстане</w:t>
      </w:r>
      <w:bookmarkEnd w:id="15"/>
    </w:p>
    <w:p w:rsidR="001807DB" w:rsidRPr="007A7C51" w:rsidRDefault="001807DB" w:rsidP="007A7C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1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период январь-сентябрь 2020 года добыто 77 849,2 млн. тонн каменного угля, что меньше на 1%, чем за аналогичный период 2019 года (78 986,2 млн. тонн).</w:t>
      </w:r>
    </w:p>
    <w:p w:rsidR="001807DB" w:rsidRPr="007A7C51" w:rsidRDefault="001807DB" w:rsidP="007A7C5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7A7C51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1807DB" w:rsidRPr="007A7C51" w:rsidTr="006A2723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Январь-сентябрь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1807DB" w:rsidRPr="007A7C51" w:rsidTr="006A2723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1807DB" w:rsidRPr="007A7C51" w:rsidRDefault="001807DB" w:rsidP="007A7C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807DB" w:rsidRPr="007A7C51" w:rsidRDefault="001807DB" w:rsidP="007A7C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DB" w:rsidRPr="007A7C51" w:rsidTr="006A2723">
        <w:trPr>
          <w:trHeight w:val="333"/>
        </w:trPr>
        <w:tc>
          <w:tcPr>
            <w:tcW w:w="56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49 122,40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47935,4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1807DB" w:rsidRPr="007A7C51" w:rsidTr="006A2723">
        <w:trPr>
          <w:trHeight w:val="333"/>
        </w:trPr>
        <w:tc>
          <w:tcPr>
            <w:tcW w:w="56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24 166,80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24 603,00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1807DB" w:rsidRPr="007A7C51" w:rsidTr="006A2723">
        <w:trPr>
          <w:trHeight w:val="333"/>
        </w:trPr>
        <w:tc>
          <w:tcPr>
            <w:tcW w:w="56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5 455,50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5 219,90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1807DB" w:rsidRPr="007A7C51" w:rsidTr="006A2723">
        <w:trPr>
          <w:trHeight w:val="333"/>
        </w:trPr>
        <w:tc>
          <w:tcPr>
            <w:tcW w:w="566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78 986,20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77 849,20</w:t>
            </w:r>
          </w:p>
        </w:tc>
        <w:tc>
          <w:tcPr>
            <w:tcW w:w="1938" w:type="dxa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</w:tr>
    </w:tbl>
    <w:p w:rsidR="001807DB" w:rsidRPr="007A7C51" w:rsidRDefault="001807DB" w:rsidP="007A7C51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1807DB" w:rsidRPr="007A7C51" w:rsidRDefault="001807DB" w:rsidP="007A7C51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7A7C51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7A7C51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7A7C51">
        <w:rPr>
          <w:rFonts w:ascii="Times New Roman" w:hAnsi="Times New Roman" w:cs="Times New Roman"/>
          <w:i/>
          <w:color w:val="auto"/>
          <w:sz w:val="28"/>
        </w:rPr>
        <w:t>»</w:t>
      </w:r>
    </w:p>
    <w:p w:rsidR="001807DB" w:rsidRPr="007A7C51" w:rsidRDefault="001807DB" w:rsidP="007A7C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7A7C51">
        <w:rPr>
          <w:rFonts w:ascii="Times New Roman" w:hAnsi="Times New Roman" w:cs="Times New Roman"/>
          <w:sz w:val="28"/>
          <w:szCs w:val="28"/>
        </w:rPr>
        <w:t xml:space="preserve">В январе-сентябре 2020 года ТОО «Богатырь </w:t>
      </w:r>
      <w:proofErr w:type="spellStart"/>
      <w:r w:rsidRPr="007A7C51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Pr="007A7C51">
        <w:rPr>
          <w:rFonts w:ascii="Times New Roman" w:hAnsi="Times New Roman" w:cs="Times New Roman"/>
          <w:sz w:val="28"/>
          <w:szCs w:val="28"/>
        </w:rPr>
        <w:t>» добыто 31 249,5 тыс. тонн, что на 2,9% меньше, чем за соответствующий период 2019 года (32 173 тыс. тонн).</w:t>
      </w:r>
    </w:p>
    <w:p w:rsidR="001807DB" w:rsidRPr="007A7C51" w:rsidRDefault="001807DB" w:rsidP="007A7C51">
      <w:pPr>
        <w:pStyle w:val="1"/>
        <w:spacing w:before="0"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510196474"/>
      <w:r w:rsidRPr="007A7C51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7A7C51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7A7C51">
        <w:rPr>
          <w:rFonts w:ascii="Times New Roman" w:hAnsi="Times New Roman" w:cs="Times New Roman"/>
          <w:i/>
          <w:color w:val="auto"/>
          <w:sz w:val="28"/>
        </w:rPr>
        <w:t>»</w:t>
      </w:r>
      <w:bookmarkEnd w:id="16"/>
    </w:p>
    <w:p w:rsidR="001807DB" w:rsidRPr="007A7C51" w:rsidRDefault="001807DB" w:rsidP="007A7C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1">
        <w:rPr>
          <w:rFonts w:ascii="Times New Roman" w:hAnsi="Times New Roman" w:cs="Times New Roman"/>
          <w:sz w:val="28"/>
          <w:szCs w:val="28"/>
        </w:rPr>
        <w:t xml:space="preserve">В январе-сентябре 2020 года реализовано 31 002 тыс. тонн, в </w:t>
      </w:r>
      <w:proofErr w:type="spellStart"/>
      <w:r w:rsidRPr="007A7C5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A7C51">
        <w:rPr>
          <w:rFonts w:ascii="Times New Roman" w:hAnsi="Times New Roman" w:cs="Times New Roman"/>
          <w:sz w:val="28"/>
          <w:szCs w:val="28"/>
        </w:rPr>
        <w:t>.:</w:t>
      </w:r>
    </w:p>
    <w:p w:rsidR="001807DB" w:rsidRPr="007A7C51" w:rsidRDefault="001807DB" w:rsidP="007A7C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1">
        <w:rPr>
          <w:rFonts w:ascii="Times New Roman" w:hAnsi="Times New Roman" w:cs="Times New Roman"/>
          <w:sz w:val="28"/>
          <w:szCs w:val="28"/>
        </w:rPr>
        <w:t>- на внутренний рынок РК 23 528 тыс. тонн, что на 2,1% меньше, чем за соответствующий период 2019 года (24 035 тыс. тонн);</w:t>
      </w:r>
    </w:p>
    <w:p w:rsidR="001807DB" w:rsidRPr="007A7C51" w:rsidRDefault="001807DB" w:rsidP="007A7C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1">
        <w:rPr>
          <w:rFonts w:ascii="Times New Roman" w:hAnsi="Times New Roman" w:cs="Times New Roman"/>
          <w:sz w:val="28"/>
          <w:szCs w:val="28"/>
        </w:rPr>
        <w:t>- на экспорт (РФ) – 7 475 млн. тонн, что на 8,4% меньше, чем за соответствующий период 2019 года (8 160 тыс. тонн).</w:t>
      </w:r>
    </w:p>
    <w:p w:rsidR="00D309A9" w:rsidRPr="007A7C51" w:rsidRDefault="00D309A9" w:rsidP="007A7C51">
      <w:pPr>
        <w:pStyle w:val="a3"/>
        <w:tabs>
          <w:tab w:val="left" w:pos="0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7A7C51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D309A9" w:rsidRPr="007A7C51" w:rsidTr="00BD7175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309A9" w:rsidRPr="007A7C51" w:rsidRDefault="00D309A9" w:rsidP="007A7C5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309A9" w:rsidRPr="007A7C51" w:rsidRDefault="00D309A9" w:rsidP="007A7C5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D309A9" w:rsidRPr="007A7C51" w:rsidRDefault="00D309A9" w:rsidP="007A7C5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309A9" w:rsidRPr="007A7C51" w:rsidRDefault="00D309A9" w:rsidP="007A7C5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7A7C51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9A9" w:rsidRPr="007A7C51" w:rsidRDefault="00D309A9" w:rsidP="007A7C5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2020/2019гг</w:t>
            </w:r>
          </w:p>
        </w:tc>
      </w:tr>
      <w:tr w:rsidR="00D309A9" w:rsidRPr="007A7C51" w:rsidTr="00BD7175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D309A9" w:rsidRPr="007A7C51" w:rsidRDefault="00D309A9" w:rsidP="007A7C5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D309A9" w:rsidRPr="007A7C51" w:rsidRDefault="00D309A9" w:rsidP="007A7C5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309A9" w:rsidRPr="007A7C51" w:rsidRDefault="001807DB" w:rsidP="007A7C5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Январь-сентябрь </w:t>
            </w:r>
            <w:r w:rsidR="00D309A9"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309A9" w:rsidRPr="007A7C51" w:rsidRDefault="001807DB" w:rsidP="007A7C5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Январь-сентябрь </w:t>
            </w:r>
            <w:r w:rsidR="00D309A9"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309A9" w:rsidRPr="007A7C51" w:rsidRDefault="00D309A9" w:rsidP="007A7C51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DB" w:rsidRPr="007A7C51" w:rsidTr="006A2723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24 035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23 528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97,9%</w:t>
            </w:r>
          </w:p>
        </w:tc>
      </w:tr>
      <w:tr w:rsidR="001807DB" w:rsidRPr="007A7C51" w:rsidTr="00853D0D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8 160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7 475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1807DB" w:rsidRPr="007A7C51" w:rsidRDefault="001807DB" w:rsidP="007A7C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91,6%</w:t>
            </w:r>
          </w:p>
        </w:tc>
      </w:tr>
    </w:tbl>
    <w:p w:rsidR="001807DB" w:rsidRPr="007A7C51" w:rsidRDefault="001807DB" w:rsidP="007A7C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51">
        <w:rPr>
          <w:rFonts w:ascii="Times New Roman" w:hAnsi="Times New Roman" w:cs="Times New Roman"/>
          <w:sz w:val="28"/>
          <w:szCs w:val="28"/>
        </w:rPr>
        <w:t xml:space="preserve">По показателям за январь-сентябрь 2020 года по сравнению с аналогичным периодом 2019 года в Обществе наблюдается снижение реализации угля на 3,7%. </w:t>
      </w:r>
    </w:p>
    <w:p w:rsidR="006B0E95" w:rsidRPr="007A7C51" w:rsidRDefault="006B0E95" w:rsidP="007A7C5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7A7C51" w:rsidRDefault="006C42DB" w:rsidP="007A7C51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7" w:name="_Toc503289885"/>
      <w:bookmarkStart w:id="18" w:name="_Toc34079819"/>
      <w:r w:rsidRPr="007A7C51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7"/>
      <w:bookmarkEnd w:id="18"/>
    </w:p>
    <w:p w:rsidR="001807DB" w:rsidRPr="007A7C51" w:rsidRDefault="001807DB" w:rsidP="007A7C51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</w:rPr>
      </w:pPr>
      <w:bookmarkStart w:id="19" w:name="_Toc31296322"/>
      <w:bookmarkStart w:id="20" w:name="_Toc34079820"/>
      <w:r w:rsidRPr="007A7C51">
        <w:rPr>
          <w:rFonts w:ascii="Times New Roman" w:hAnsi="Times New Roman" w:cs="Times New Roman"/>
          <w:sz w:val="28"/>
        </w:rPr>
        <w:t xml:space="preserve">По данным системного оператора объем производства электроэнергии объектами по использованию ВИЭ (СЭС, ВЭС, БГС, малые ГЭС) РК за январь-сентябрь 2020 года составил 2 406 млн. </w:t>
      </w:r>
      <w:proofErr w:type="spellStart"/>
      <w:r w:rsidRPr="007A7C51">
        <w:rPr>
          <w:rFonts w:ascii="Times New Roman" w:hAnsi="Times New Roman" w:cs="Times New Roman"/>
          <w:sz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. В сравнении с январем-сентябрем 2019 года (1 428,5 млн. </w:t>
      </w:r>
      <w:proofErr w:type="spellStart"/>
      <w:r w:rsidRPr="007A7C51">
        <w:rPr>
          <w:rFonts w:ascii="Times New Roman" w:hAnsi="Times New Roman" w:cs="Times New Roman"/>
          <w:sz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</w:rPr>
        <w:t>) прирост составил 68,4%.</w:t>
      </w:r>
    </w:p>
    <w:p w:rsidR="001807DB" w:rsidRPr="007A7C51" w:rsidRDefault="001807DB" w:rsidP="007A7C51">
      <w:pPr>
        <w:pStyle w:val="a3"/>
        <w:spacing w:after="0" w:line="240" w:lineRule="auto"/>
        <w:ind w:left="643"/>
        <w:jc w:val="right"/>
        <w:rPr>
          <w:rFonts w:ascii="Times New Roman" w:hAnsi="Times New Roman" w:cs="Times New Roman"/>
          <w:sz w:val="24"/>
        </w:rPr>
      </w:pPr>
      <w:r w:rsidRPr="007A7C51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58"/>
        <w:gridCol w:w="3082"/>
        <w:gridCol w:w="1196"/>
        <w:gridCol w:w="979"/>
        <w:gridCol w:w="1196"/>
        <w:gridCol w:w="996"/>
        <w:gridCol w:w="1041"/>
        <w:gridCol w:w="991"/>
      </w:tblGrid>
      <w:tr w:rsidR="001807DB" w:rsidRPr="007A7C51" w:rsidTr="006A2723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/2019гг,</w:t>
            </w:r>
          </w:p>
        </w:tc>
      </w:tr>
      <w:tr w:rsidR="001807DB" w:rsidRPr="007A7C51" w:rsidTr="006A2723">
        <w:trPr>
          <w:trHeight w:val="57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807DB" w:rsidRPr="007A7C51" w:rsidTr="006A2723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выработка в РК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76734,2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77755,9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1021,7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</w:tr>
      <w:tr w:rsidR="001807DB" w:rsidRPr="007A7C51" w:rsidTr="006A2723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зонам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1428,5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2406,0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3,1%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977,5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68,4%</w:t>
            </w:r>
          </w:p>
        </w:tc>
      </w:tr>
      <w:tr w:rsidR="001807DB" w:rsidRPr="007A7C51" w:rsidTr="006A2723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Северная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400,8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28,1%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824,1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34,3%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423,3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105,6%</w:t>
            </w:r>
          </w:p>
        </w:tc>
      </w:tr>
      <w:tr w:rsidR="001807DB" w:rsidRPr="007A7C51" w:rsidTr="006A2723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Южная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853,3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59,7%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1308,2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54,4%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454,9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53,3%</w:t>
            </w:r>
          </w:p>
        </w:tc>
      </w:tr>
      <w:tr w:rsidR="001807DB" w:rsidRPr="007A7C51" w:rsidTr="006A2723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Западная зона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174,4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273,7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11,4%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99,3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1807DB" w:rsidRPr="007A7C51" w:rsidTr="006A2723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типам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1428,5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1,9%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2406,0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3,1%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977,5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68,4%</w:t>
            </w:r>
          </w:p>
        </w:tc>
      </w:tr>
      <w:tr w:rsidR="001807DB" w:rsidRPr="007A7C51" w:rsidTr="006A2723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300,2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21,0%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1084,3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45,1%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784,1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261,2%</w:t>
            </w:r>
          </w:p>
        </w:tc>
      </w:tr>
      <w:tr w:rsidR="001807DB" w:rsidRPr="007A7C51" w:rsidTr="006A2723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475,7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33,3%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736,9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30,6%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261,2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54,9%</w:t>
            </w:r>
          </w:p>
        </w:tc>
      </w:tr>
      <w:tr w:rsidR="001807DB" w:rsidRPr="007A7C51" w:rsidTr="006A2723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Малые ГЭС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650,1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45,5%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581,2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24,2%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-68,9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-10,6%</w:t>
            </w:r>
          </w:p>
        </w:tc>
      </w:tr>
      <w:tr w:rsidR="001807DB" w:rsidRPr="007A7C51" w:rsidTr="006A2723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proofErr w:type="spellStart"/>
            <w:r w:rsidRPr="007A7C51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2,5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3,6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1807DB" w:rsidRPr="007A7C51" w:rsidRDefault="001807DB" w:rsidP="007A7C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hAnsi="Times New Roman" w:cs="Times New Roman"/>
          <w:sz w:val="28"/>
        </w:rPr>
        <w:t>В январе-сентябре 2020г. наблюдается снижение производства электроэнергии малыми ГЭС по сравнению с аналогичным периодом 2019г., в то время как производство электроэнергии объектами ВЭС и СЭС выросло.</w:t>
      </w:r>
    </w:p>
    <w:p w:rsidR="001807DB" w:rsidRPr="007A7C51" w:rsidRDefault="001807DB" w:rsidP="007A7C51">
      <w:pPr>
        <w:pStyle w:val="a3"/>
        <w:spacing w:after="0" w:line="240" w:lineRule="auto"/>
        <w:ind w:left="643"/>
        <w:jc w:val="right"/>
        <w:rPr>
          <w:rFonts w:ascii="Times New Roman" w:hAnsi="Times New Roman" w:cs="Times New Roman"/>
          <w:sz w:val="24"/>
        </w:rPr>
      </w:pPr>
      <w:r w:rsidRPr="007A7C51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511"/>
        <w:gridCol w:w="1196"/>
        <w:gridCol w:w="1040"/>
        <w:gridCol w:w="1196"/>
        <w:gridCol w:w="970"/>
        <w:gridCol w:w="918"/>
        <w:gridCol w:w="1014"/>
      </w:tblGrid>
      <w:tr w:rsidR="001807DB" w:rsidRPr="007A7C51" w:rsidTr="006A2723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2020/2019гг,</w:t>
            </w:r>
          </w:p>
        </w:tc>
      </w:tr>
      <w:tr w:rsidR="001807DB" w:rsidRPr="007A7C51" w:rsidTr="006A2723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7A7C51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1807DB" w:rsidRPr="007A7C51" w:rsidTr="006A2723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7A7C51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76734,2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77755,9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1021,7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</w:tr>
      <w:tr w:rsidR="001807DB" w:rsidRPr="007A7C51" w:rsidTr="006A2723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DB" w:rsidRPr="007A7C51" w:rsidRDefault="001807DB" w:rsidP="007A7C51">
            <w:pPr>
              <w:spacing w:after="0" w:line="240" w:lineRule="auto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8263,9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10,8%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10034,0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12,9%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1770,1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21,4%</w:t>
            </w:r>
          </w:p>
        </w:tc>
      </w:tr>
      <w:tr w:rsidR="001807DB" w:rsidRPr="007A7C51" w:rsidTr="006A2723">
        <w:trPr>
          <w:trHeight w:val="70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DB" w:rsidRPr="007A7C51" w:rsidRDefault="001807DB" w:rsidP="007A7C51">
            <w:pPr>
              <w:spacing w:after="0" w:line="240" w:lineRule="auto"/>
              <w:ind w:firstLineChars="100" w:firstLine="220"/>
              <w:contextualSpacing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1428,5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1,9%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2406,0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3,1%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977,5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68,4%</w:t>
            </w:r>
          </w:p>
        </w:tc>
      </w:tr>
    </w:tbl>
    <w:p w:rsidR="001807DB" w:rsidRPr="007A7C51" w:rsidRDefault="001807DB" w:rsidP="007A7C51">
      <w:pPr>
        <w:tabs>
          <w:tab w:val="left" w:pos="207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07DB" w:rsidRPr="007A7C51" w:rsidRDefault="001807DB" w:rsidP="007A7C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7C51">
        <w:rPr>
          <w:rFonts w:ascii="Times New Roman" w:hAnsi="Times New Roman" w:cs="Times New Roman"/>
          <w:sz w:val="28"/>
        </w:rPr>
        <w:tab/>
        <w:t>Выработка электроэнергии объектами ВИЭ АО «</w:t>
      </w:r>
      <w:proofErr w:type="spellStart"/>
      <w:r w:rsidRPr="007A7C51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» (СЭС, ВЭС, малые ГЭС) за январь-сентябрь 2020 года </w:t>
      </w:r>
      <w:r w:rsidRPr="007A7C51">
        <w:rPr>
          <w:rFonts w:ascii="Times New Roman" w:hAnsi="Times New Roman" w:cs="Times New Roman"/>
          <w:sz w:val="28"/>
          <w:szCs w:val="28"/>
        </w:rPr>
        <w:t xml:space="preserve">составила 250,8 </w:t>
      </w:r>
      <w:r w:rsidRPr="007A7C51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sz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 или 10,4% от общего объема вырабатываемой объектами ВИЭ электроэнергии, что по сравнению с аналогичным периодом 2019 года ниже на 13,5</w:t>
      </w:r>
      <w:r w:rsidRPr="007A7C51">
        <w:rPr>
          <w:rFonts w:ascii="Times New Roman" w:hAnsi="Times New Roman" w:cs="Times New Roman"/>
          <w:sz w:val="28"/>
          <w:szCs w:val="28"/>
        </w:rPr>
        <w:t>%</w:t>
      </w:r>
      <w:r w:rsidRPr="007A7C51">
        <w:rPr>
          <w:rFonts w:ascii="Times New Roman" w:hAnsi="Times New Roman" w:cs="Times New Roman"/>
          <w:sz w:val="28"/>
        </w:rPr>
        <w:t xml:space="preserve"> (за январь-сентябрь 2019г. выработка ВИЭ </w:t>
      </w:r>
      <w:r w:rsidRPr="007A7C51">
        <w:rPr>
          <w:rFonts w:ascii="Times New Roman" w:hAnsi="Times New Roman" w:cs="Times New Roman"/>
          <w:sz w:val="28"/>
          <w:szCs w:val="28"/>
        </w:rPr>
        <w:t>Общества составила 264,3</w:t>
      </w:r>
      <w:r w:rsidRPr="007A7C5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A7C51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sz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</w:rPr>
        <w:t>, а доля ВИЭ Общества 18,5%).</w:t>
      </w:r>
    </w:p>
    <w:p w:rsidR="001807DB" w:rsidRPr="007A7C51" w:rsidRDefault="001807DB" w:rsidP="007A7C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A7C51">
        <w:rPr>
          <w:rFonts w:ascii="Times New Roman" w:hAnsi="Times New Roman" w:cs="Times New Roman"/>
          <w:sz w:val="24"/>
        </w:rPr>
        <w:tab/>
      </w:r>
      <w:r w:rsidRPr="007A7C51">
        <w:rPr>
          <w:rFonts w:ascii="Times New Roman" w:hAnsi="Times New Roman" w:cs="Times New Roman"/>
          <w:sz w:val="28"/>
        </w:rPr>
        <w:t xml:space="preserve">Доля Общества в производстве «чистой» электроэнергии (СЭС, ВЭС, малые и крупные ГЭС) за январь-сентябрь 2020г. снизилась на -10,8 % (2 136,9 млн. </w:t>
      </w:r>
      <w:proofErr w:type="spellStart"/>
      <w:r w:rsidRPr="007A7C51">
        <w:rPr>
          <w:rFonts w:ascii="Times New Roman" w:hAnsi="Times New Roman" w:cs="Times New Roman"/>
          <w:sz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) в сравнении с аналогичным периодом 2019г. (239 млн. </w:t>
      </w:r>
      <w:proofErr w:type="spellStart"/>
      <w:r w:rsidRPr="007A7C51">
        <w:rPr>
          <w:rFonts w:ascii="Times New Roman" w:hAnsi="Times New Roman" w:cs="Times New Roman"/>
          <w:sz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</w:rPr>
        <w:t>).</w:t>
      </w:r>
    </w:p>
    <w:p w:rsidR="001807DB" w:rsidRPr="007A7C51" w:rsidRDefault="001807DB" w:rsidP="007A7C5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7A7C51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60"/>
        <w:gridCol w:w="3535"/>
        <w:gridCol w:w="1196"/>
        <w:gridCol w:w="947"/>
        <w:gridCol w:w="1196"/>
        <w:gridCol w:w="935"/>
        <w:gridCol w:w="960"/>
        <w:gridCol w:w="887"/>
      </w:tblGrid>
      <w:tr w:rsidR="001807DB" w:rsidRPr="007A7C51" w:rsidTr="006A2723">
        <w:trPr>
          <w:trHeight w:val="285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2020/2019гг,</w:t>
            </w:r>
          </w:p>
        </w:tc>
      </w:tr>
      <w:tr w:rsidR="001807DB" w:rsidRPr="007A7C51" w:rsidTr="006A2723">
        <w:trPr>
          <w:trHeight w:val="570"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7A7C51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C51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1807DB" w:rsidRPr="007A7C51" w:rsidTr="006A2723">
        <w:trPr>
          <w:trHeight w:val="7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7A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Самрук-Энерго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» «чистой» электроэнергии (СЭС, ВЭС, малые и крупные ГЭС)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2395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29,0%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2136,9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21,3%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-258,1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-10,8%</w:t>
            </w:r>
          </w:p>
        </w:tc>
      </w:tr>
      <w:tr w:rsidR="001807DB" w:rsidRPr="007A7C51" w:rsidTr="006A2723">
        <w:trPr>
          <w:trHeight w:val="67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Производство АО «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Самрук-Энерго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» «чистой» электроэнергии (СЭС, ВЭС и малые ГЭС), в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18,5%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250,8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10,4%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-13,5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A7C51">
              <w:rPr>
                <w:rFonts w:ascii="Times New Roman" w:hAnsi="Times New Roman" w:cs="Times New Roman"/>
              </w:rPr>
              <w:t>-5,1%</w:t>
            </w:r>
          </w:p>
        </w:tc>
      </w:tr>
      <w:tr w:rsidR="001807DB" w:rsidRPr="007A7C51" w:rsidTr="006A2723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ind w:firstLineChars="100" w:firstLine="24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Каскад малых ГЭС АО «</w:t>
            </w:r>
            <w:proofErr w:type="spellStart"/>
            <w:r w:rsidRPr="007A7C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АлЭС</w:t>
            </w:r>
            <w:proofErr w:type="spellEnd"/>
            <w:r w:rsidRPr="007A7C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155,9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10,9%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133,9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5,6%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-22,0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-14,1%</w:t>
            </w:r>
          </w:p>
        </w:tc>
      </w:tr>
      <w:tr w:rsidR="001807DB" w:rsidRPr="007A7C51" w:rsidTr="006A2723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ind w:firstLineChars="100" w:firstLine="24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ТОО «</w:t>
            </w:r>
            <w:proofErr w:type="spellStart"/>
            <w:r w:rsidRPr="007A7C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Samruk-Green</w:t>
            </w:r>
            <w:proofErr w:type="spellEnd"/>
            <w:r w:rsidRPr="007A7C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C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Energy</w:t>
            </w:r>
            <w:proofErr w:type="spellEnd"/>
            <w:r w:rsidRPr="007A7C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2,7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3,2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0,5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18,5%</w:t>
            </w:r>
          </w:p>
        </w:tc>
      </w:tr>
      <w:tr w:rsidR="001807DB" w:rsidRPr="007A7C51" w:rsidTr="006A2723">
        <w:trPr>
          <w:trHeight w:val="42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ind w:firstLineChars="100" w:firstLine="240"/>
              <w:contextualSpacing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ТОО «Первая ветровая электрическая станция»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105,7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7,4%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113,7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4,7%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7DB" w:rsidRPr="007A7C51" w:rsidRDefault="001807DB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7C51">
              <w:rPr>
                <w:rFonts w:ascii="Times New Roman" w:hAnsi="Times New Roman" w:cs="Times New Roman"/>
                <w:i/>
                <w:iCs/>
              </w:rPr>
              <w:t>7,6%</w:t>
            </w:r>
          </w:p>
        </w:tc>
      </w:tr>
    </w:tbl>
    <w:p w:rsidR="001807DB" w:rsidRPr="007A7C51" w:rsidRDefault="001807DB" w:rsidP="007A7C5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7A7C51">
        <w:rPr>
          <w:rFonts w:ascii="Times New Roman" w:hAnsi="Times New Roman" w:cs="Times New Roman"/>
          <w:iCs/>
          <w:sz w:val="28"/>
          <w:lang w:val="kk-KZ"/>
        </w:rPr>
        <w:t xml:space="preserve">Основным снижением доли производства электроэнергии ВИЭ </w:t>
      </w:r>
      <w:r w:rsidRPr="007A7C51">
        <w:rPr>
          <w:rFonts w:ascii="Times New Roman" w:hAnsi="Times New Roman" w:cs="Times New Roman"/>
          <w:sz w:val="28"/>
        </w:rPr>
        <w:t xml:space="preserve">Общества </w:t>
      </w:r>
      <w:r w:rsidRPr="007A7C51">
        <w:rPr>
          <w:rFonts w:ascii="Times New Roman" w:hAnsi="Times New Roman" w:cs="Times New Roman"/>
          <w:iCs/>
          <w:sz w:val="28"/>
          <w:lang w:val="kk-KZ"/>
        </w:rPr>
        <w:t xml:space="preserve">является </w:t>
      </w:r>
      <w:r w:rsidRPr="007A7C51">
        <w:rPr>
          <w:rFonts w:ascii="Times New Roman" w:hAnsi="Times New Roman" w:cs="Times New Roman"/>
          <w:iCs/>
          <w:sz w:val="28"/>
        </w:rPr>
        <w:t>ввод новых мощностей ВИЭ в РК.</w:t>
      </w:r>
    </w:p>
    <w:p w:rsidR="001807DB" w:rsidRPr="007A7C51" w:rsidRDefault="001807DB" w:rsidP="007A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hAnsi="Times New Roman" w:cs="Times New Roman"/>
          <w:sz w:val="28"/>
        </w:rPr>
        <w:t xml:space="preserve">Ввод новых объектов ВИЭ (общий объем ввода за 9 </w:t>
      </w:r>
      <w:proofErr w:type="spellStart"/>
      <w:r w:rsidRPr="007A7C51">
        <w:rPr>
          <w:rFonts w:ascii="Times New Roman" w:hAnsi="Times New Roman" w:cs="Times New Roman"/>
          <w:sz w:val="28"/>
        </w:rPr>
        <w:t>мес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 977 </w:t>
      </w:r>
      <w:proofErr w:type="spellStart"/>
      <w:r w:rsidRPr="007A7C51">
        <w:rPr>
          <w:rFonts w:ascii="Times New Roman" w:hAnsi="Times New Roman" w:cs="Times New Roman"/>
          <w:sz w:val="28"/>
        </w:rPr>
        <w:t>млн.кВтч</w:t>
      </w:r>
      <w:proofErr w:type="spellEnd"/>
      <w:r w:rsidRPr="007A7C51">
        <w:rPr>
          <w:rFonts w:ascii="Times New Roman" w:hAnsi="Times New Roman" w:cs="Times New Roman"/>
          <w:sz w:val="28"/>
        </w:rPr>
        <w:t xml:space="preserve"> увеличение на 68,4% к аналогичному периоду 2019 года):</w:t>
      </w:r>
    </w:p>
    <w:p w:rsidR="001807DB" w:rsidRPr="007A7C51" w:rsidRDefault="001807DB" w:rsidP="007A7C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lang w:val="en-US"/>
        </w:rPr>
      </w:pP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СЭС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Каскелен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«MISTRAL ENERGY» - 50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807DB" w:rsidRPr="007A7C51" w:rsidRDefault="001807DB" w:rsidP="007A7C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lang w:val="en-US"/>
        </w:rPr>
      </w:pPr>
      <w:r w:rsidRPr="007A7C51">
        <w:rPr>
          <w:rFonts w:ascii="Times New Roman" w:hAnsi="Times New Roman" w:cs="Times New Roman"/>
          <w:sz w:val="28"/>
          <w:lang w:val="en-US"/>
        </w:rPr>
        <w:t xml:space="preserve">- ВЭС Бадамша-1 </w:t>
      </w:r>
      <w:proofErr w:type="spellStart"/>
      <w:r w:rsidRPr="007A7C51">
        <w:rPr>
          <w:rFonts w:ascii="Times New Roman" w:hAnsi="Times New Roman" w:cs="Times New Roman"/>
          <w:sz w:val="28"/>
          <w:lang w:val="en-US"/>
        </w:rPr>
        <w:t>ТОО"Arm</w:t>
      </w:r>
      <w:proofErr w:type="spellEnd"/>
      <w:r w:rsidRPr="007A7C51">
        <w:rPr>
          <w:rFonts w:ascii="Times New Roman" w:hAnsi="Times New Roman" w:cs="Times New Roman"/>
          <w:sz w:val="28"/>
          <w:lang w:val="en-US"/>
        </w:rPr>
        <w:t xml:space="preserve"> Wind" -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48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</w:t>
      </w:r>
      <w:r w:rsidRPr="007A7C51">
        <w:rPr>
          <w:rFonts w:ascii="Times New Roman" w:hAnsi="Times New Roman" w:cs="Times New Roman"/>
          <w:sz w:val="28"/>
          <w:lang w:val="en-US"/>
        </w:rPr>
        <w:t>;</w:t>
      </w:r>
    </w:p>
    <w:p w:rsidR="001807DB" w:rsidRPr="007A7C51" w:rsidRDefault="001807DB" w:rsidP="007A7C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lang w:val="en-US"/>
        </w:rPr>
      </w:pP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ВЭС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Коктал</w:t>
      </w:r>
      <w:proofErr w:type="spellEnd"/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-1</w:t>
      </w:r>
      <w:proofErr w:type="gramStart"/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,2</w:t>
      </w:r>
      <w:proofErr w:type="gramEnd"/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Wind Power city - 4,5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1807DB" w:rsidRPr="007A7C51" w:rsidRDefault="001807DB" w:rsidP="007A7C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hAnsi="Times New Roman" w:cs="Times New Roman"/>
          <w:sz w:val="24"/>
        </w:rPr>
        <w:t xml:space="preserve">-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СЭС </w:t>
      </w:r>
      <w:proofErr w:type="spellStart"/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Жатысай</w:t>
      </w:r>
      <w:proofErr w:type="spellEnd"/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ТОО "Компания </w:t>
      </w:r>
      <w:proofErr w:type="spellStart"/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KaDi</w:t>
      </w:r>
      <w:proofErr w:type="spellEnd"/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"- 4.8 МВт;</w:t>
      </w:r>
    </w:p>
    <w:p w:rsidR="001807DB" w:rsidRPr="007A7C51" w:rsidRDefault="001807DB" w:rsidP="007A7C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СЭС ТОО "ЮКСЭС 50" - 50 МВт;</w:t>
      </w:r>
    </w:p>
    <w:p w:rsidR="001807DB" w:rsidRPr="007A7C51" w:rsidRDefault="001807DB" w:rsidP="007A7C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ВЭС ТОО "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Golden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Energy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corp</w:t>
      </w:r>
      <w:proofErr w:type="spellEnd"/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- 30 МВт;</w:t>
      </w:r>
    </w:p>
    <w:p w:rsidR="001807DB" w:rsidRPr="007A7C51" w:rsidRDefault="001807DB" w:rsidP="007A7C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СЭС Агадырь -1,2 ТОО "КазСолар-50" 50МВт+10МВт;</w:t>
      </w:r>
    </w:p>
    <w:p w:rsidR="001807DB" w:rsidRPr="007A7C51" w:rsidRDefault="001807DB" w:rsidP="007A7C51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lang w:val="en-US"/>
        </w:rPr>
      </w:pP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ВЭС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"Astana Expo"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ТОО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ЦАТЭК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Green Energy» - 100 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МВт</w:t>
      </w:r>
      <w:r w:rsidRPr="007A7C5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1807DB" w:rsidRPr="007A7C51" w:rsidRDefault="001807DB" w:rsidP="007A7C51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1248FB" w:rsidRPr="007A7C51" w:rsidRDefault="001248FB" w:rsidP="007A7C51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7A7C51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19"/>
      <w:bookmarkEnd w:id="20"/>
    </w:p>
    <w:p w:rsidR="001248FB" w:rsidRPr="007A7C51" w:rsidRDefault="001248FB" w:rsidP="007A7C51">
      <w:pPr>
        <w:pStyle w:val="ab"/>
        <w:tabs>
          <w:tab w:val="left" w:pos="0"/>
        </w:tabs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7A7C51">
        <w:rPr>
          <w:i/>
          <w:szCs w:val="22"/>
        </w:rPr>
        <w:t>(информация АО «КОРЭМ»)</w:t>
      </w:r>
    </w:p>
    <w:p w:rsidR="001338ED" w:rsidRPr="007A7C51" w:rsidRDefault="001338ED" w:rsidP="007A7C5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A7C51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</w:p>
    <w:p w:rsidR="001338ED" w:rsidRPr="007A7C51" w:rsidRDefault="001338ED" w:rsidP="007A7C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C51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сентябре 2020 года были заключены 8 сделок объеме 92 832 тыс. кВт*ч на общую сумму 730 695,36 тыс. тенге (без НДС), (включая, в режиме «за день вперед» и торги на среднесрочный и долгосрочный периоды), в том числе:</w:t>
      </w:r>
    </w:p>
    <w:p w:rsidR="006A2723" w:rsidRPr="007A7C51" w:rsidRDefault="006A2723" w:rsidP="007A7C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C51">
        <w:rPr>
          <w:rFonts w:ascii="Times New Roman" w:hAnsi="Times New Roman" w:cs="Times New Roman"/>
          <w:sz w:val="28"/>
          <w:szCs w:val="28"/>
        </w:rPr>
        <w:tab/>
      </w:r>
      <w:r w:rsidRPr="007A7C51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1338ED" w:rsidRPr="007A7C51">
        <w:rPr>
          <w:rFonts w:ascii="Times New Roman" w:hAnsi="Times New Roman" w:cs="Times New Roman"/>
          <w:sz w:val="28"/>
          <w:szCs w:val="28"/>
        </w:rPr>
        <w:t xml:space="preserve">спот-торги в режиме «за день вперед» - было заключено 6 сделок в объеме 6720 тыс. кВт*ч на общую сумму 55 776 тыс. тенге (без НДС). Минимальная цена на спот-торгах в режиме «за день вперед» составила – 8,3 </w:t>
      </w:r>
      <w:proofErr w:type="spellStart"/>
      <w:r w:rsidR="001338ED" w:rsidRPr="007A7C5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1338ED" w:rsidRPr="007A7C51">
        <w:rPr>
          <w:rFonts w:ascii="Times New Roman" w:hAnsi="Times New Roman" w:cs="Times New Roman"/>
          <w:sz w:val="28"/>
          <w:szCs w:val="28"/>
        </w:rPr>
        <w:t>/кВт*ч (без НДС), максимальна</w:t>
      </w:r>
      <w:r w:rsidRPr="007A7C51">
        <w:rPr>
          <w:rFonts w:ascii="Times New Roman" w:hAnsi="Times New Roman" w:cs="Times New Roman"/>
          <w:sz w:val="28"/>
          <w:szCs w:val="28"/>
        </w:rPr>
        <w:t xml:space="preserve">я цена – 8,3 </w:t>
      </w:r>
      <w:proofErr w:type="spellStart"/>
      <w:r w:rsidRPr="007A7C5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7A7C51">
        <w:rPr>
          <w:rFonts w:ascii="Times New Roman" w:hAnsi="Times New Roman" w:cs="Times New Roman"/>
          <w:sz w:val="28"/>
          <w:szCs w:val="28"/>
        </w:rPr>
        <w:t xml:space="preserve">/кВт*ч (без </w:t>
      </w:r>
      <w:proofErr w:type="gramStart"/>
      <w:r w:rsidRPr="007A7C51">
        <w:rPr>
          <w:rFonts w:ascii="Times New Roman" w:hAnsi="Times New Roman" w:cs="Times New Roman"/>
          <w:sz w:val="28"/>
          <w:szCs w:val="28"/>
        </w:rPr>
        <w:t>НДС)</w:t>
      </w:r>
      <w:r w:rsidRPr="007A7C51">
        <w:rPr>
          <w:rFonts w:ascii="Times New Roman" w:hAnsi="Times New Roman" w:cs="Times New Roman"/>
          <w:sz w:val="28"/>
          <w:szCs w:val="28"/>
          <w:lang w:val="kk-KZ"/>
        </w:rPr>
        <w:t>№</w:t>
      </w:r>
      <w:proofErr w:type="gramEnd"/>
    </w:p>
    <w:p w:rsidR="006A2723" w:rsidRPr="007A7C51" w:rsidRDefault="006A2723" w:rsidP="007A7C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1">
        <w:rPr>
          <w:rFonts w:ascii="Times New Roman" w:hAnsi="Times New Roman" w:cs="Times New Roman"/>
          <w:sz w:val="28"/>
          <w:szCs w:val="28"/>
          <w:lang w:val="kk-KZ"/>
        </w:rPr>
        <w:tab/>
        <w:t>С</w:t>
      </w:r>
      <w:r w:rsidR="001338ED" w:rsidRPr="007A7C51">
        <w:rPr>
          <w:rFonts w:ascii="Times New Roman" w:hAnsi="Times New Roman" w:cs="Times New Roman"/>
          <w:sz w:val="28"/>
          <w:szCs w:val="28"/>
        </w:rPr>
        <w:t>пот-торги «в течение операционных суток» - сделок заключено не было.</w:t>
      </w:r>
    </w:p>
    <w:p w:rsidR="001338ED" w:rsidRPr="007A7C51" w:rsidRDefault="006A2723" w:rsidP="007A7C5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C51">
        <w:rPr>
          <w:rFonts w:ascii="Times New Roman" w:hAnsi="Times New Roman" w:cs="Times New Roman"/>
          <w:sz w:val="28"/>
          <w:szCs w:val="28"/>
        </w:rPr>
        <w:tab/>
      </w:r>
      <w:r w:rsidRPr="007A7C51">
        <w:rPr>
          <w:rFonts w:ascii="Times New Roman" w:hAnsi="Times New Roman" w:cs="Times New Roman"/>
          <w:sz w:val="28"/>
          <w:szCs w:val="28"/>
          <w:lang w:val="kk-KZ"/>
        </w:rPr>
        <w:t>- Т</w:t>
      </w:r>
      <w:proofErr w:type="spellStart"/>
      <w:r w:rsidR="001338ED" w:rsidRPr="007A7C51">
        <w:rPr>
          <w:rFonts w:ascii="Times New Roman" w:hAnsi="Times New Roman" w:cs="Times New Roman"/>
          <w:sz w:val="28"/>
          <w:szCs w:val="28"/>
        </w:rPr>
        <w:t>орги</w:t>
      </w:r>
      <w:proofErr w:type="spellEnd"/>
      <w:r w:rsidR="001338ED" w:rsidRPr="007A7C51">
        <w:rPr>
          <w:rFonts w:ascii="Times New Roman" w:hAnsi="Times New Roman" w:cs="Times New Roman"/>
          <w:sz w:val="28"/>
          <w:szCs w:val="28"/>
        </w:rPr>
        <w:t xml:space="preserve"> электроэнергией на средне- и долгосрочный периоды – были заключены 2 сделки объемом 86 112 тыс. кВт*ч на общую сумму 674 919,36 тыс. тенге (без НДС). Минимальная цена на спот-торгах в режиме «за день вперед» составила – 8,3 </w:t>
      </w:r>
      <w:proofErr w:type="spellStart"/>
      <w:r w:rsidR="001338ED" w:rsidRPr="007A7C5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1338ED" w:rsidRPr="007A7C51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цена – 8,3 </w:t>
      </w:r>
      <w:proofErr w:type="spellStart"/>
      <w:r w:rsidR="001338ED" w:rsidRPr="007A7C51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1338ED" w:rsidRPr="007A7C51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1338ED" w:rsidRPr="007A7C51" w:rsidRDefault="001338ED" w:rsidP="007A7C5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C51">
        <w:rPr>
          <w:rFonts w:ascii="Times New Roman" w:hAnsi="Times New Roman" w:cs="Times New Roman"/>
          <w:sz w:val="28"/>
          <w:szCs w:val="28"/>
        </w:rPr>
        <w:t>За аналогичный период 2019 года общий объем централизованных торгов составил 930 073 тыс. кВт*ч. В таблице ниже приведена динамика цен сделок, заключенных на централизованных торгах в сентябре 2019-2020 годы.</w:t>
      </w:r>
    </w:p>
    <w:p w:rsidR="001338ED" w:rsidRPr="007A7C51" w:rsidRDefault="001338ED" w:rsidP="007A7C5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C51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1338ED" w:rsidRPr="007A7C51" w:rsidRDefault="001338ED" w:rsidP="007A7C5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A7C51">
        <w:rPr>
          <w:rFonts w:ascii="Times New Roman" w:hAnsi="Times New Roman" w:cs="Times New Roman"/>
          <w:sz w:val="28"/>
          <w:szCs w:val="28"/>
        </w:rPr>
        <w:t>в сентябре 2019-2020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1338ED" w:rsidRPr="007A7C51" w:rsidTr="006A2723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1338ED" w:rsidRPr="007A7C51" w:rsidTr="006A2723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51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51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51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51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51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C51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1338ED" w:rsidRPr="007A7C51" w:rsidTr="006A2723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8ED" w:rsidRPr="007A7C51" w:rsidRDefault="001338ED" w:rsidP="007A7C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A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7A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/кВт*ч</w:t>
            </w:r>
            <w:proofErr w:type="gramStart"/>
            <w:r w:rsidRPr="007A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7A7C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НДС)</w:t>
            </w:r>
          </w:p>
        </w:tc>
      </w:tr>
      <w:tr w:rsidR="001338ED" w:rsidRPr="007A7C51" w:rsidTr="006A272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6,48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6,48</w:t>
            </w:r>
          </w:p>
        </w:tc>
      </w:tr>
      <w:tr w:rsidR="001338ED" w:rsidRPr="007A7C51" w:rsidTr="006A2723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338ED" w:rsidRPr="007A7C51" w:rsidRDefault="001338ED" w:rsidP="007A7C51">
            <w:pPr>
              <w:pStyle w:val="Defaul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7A7C51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1338ED" w:rsidRPr="007A7C51" w:rsidRDefault="001338ED" w:rsidP="007A7C51">
      <w:pPr>
        <w:pStyle w:val="1"/>
        <w:spacing w:before="0" w:line="240" w:lineRule="auto"/>
        <w:ind w:firstLine="709"/>
        <w:contextualSpacing/>
        <w:rPr>
          <w:rFonts w:ascii="Times New Roman" w:hAnsi="Times New Roman" w:cs="Times New Roman"/>
          <w:b/>
          <w:i/>
          <w:color w:val="auto"/>
          <w:sz w:val="28"/>
        </w:rPr>
      </w:pPr>
      <w:bookmarkStart w:id="21" w:name="_Toc510196478"/>
    </w:p>
    <w:p w:rsidR="001338ED" w:rsidRPr="007A7C51" w:rsidRDefault="001338ED" w:rsidP="007A7C51">
      <w:pPr>
        <w:pStyle w:val="1"/>
        <w:spacing w:before="0" w:line="240" w:lineRule="auto"/>
        <w:ind w:firstLine="709"/>
        <w:contextualSpacing/>
        <w:rPr>
          <w:rFonts w:ascii="Times New Roman" w:hAnsi="Times New Roman" w:cs="Times New Roman"/>
          <w:b/>
          <w:i/>
          <w:color w:val="auto"/>
          <w:sz w:val="28"/>
        </w:rPr>
      </w:pPr>
      <w:r w:rsidRPr="007A7C51">
        <w:rPr>
          <w:rFonts w:ascii="Times New Roman" w:hAnsi="Times New Roman" w:cs="Times New Roman"/>
          <w:b/>
          <w:i/>
          <w:color w:val="auto"/>
          <w:sz w:val="28"/>
        </w:rPr>
        <w:t>Итоги спот-торгов в режиме «за день вперед»</w:t>
      </w:r>
      <w:bookmarkEnd w:id="21"/>
    </w:p>
    <w:p w:rsidR="001338ED" w:rsidRPr="007A7C51" w:rsidRDefault="001338ED" w:rsidP="007A7C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в сентябре 2020 года были заключены 6 сделок в объеме 6 720 тыс. кВт*ч на общую сумму 55 776 тыс. тенге (без НДС). Минимальная цена на спот-торгах в режиме «за день вперед» составила – 8,3 </w:t>
      </w:r>
      <w:proofErr w:type="spellStart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максимальная цена – 8,3 </w:t>
      </w:r>
      <w:proofErr w:type="spellStart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1338ED" w:rsidRPr="007A7C51" w:rsidRDefault="001338ED" w:rsidP="007A7C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нижеприведенной таблице представлены объемы и цены спроса-предложения и итоговые результаты спот-торгов в режиме «за день вперед» в сентябре 2020 года. </w:t>
      </w:r>
    </w:p>
    <w:p w:rsidR="001338ED" w:rsidRPr="007A7C51" w:rsidRDefault="001338ED" w:rsidP="007A7C51">
      <w:pPr>
        <w:pStyle w:val="a3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7C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66AC3" wp14:editId="33AA73B6">
            <wp:extent cx="6301105" cy="6296957"/>
            <wp:effectExtent l="0" t="0" r="444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629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8ED" w:rsidRPr="007A7C51" w:rsidRDefault="001338ED" w:rsidP="007A7C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510196479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суммарный объем спроса составил 34</w:t>
      </w:r>
      <w:r w:rsidR="006A2723" w:rsidRPr="007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416 тыс. кВт*ч., при этом объем предложения составил 11</w:t>
      </w:r>
      <w:r w:rsidR="006A2723" w:rsidRPr="007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328 тыс. кВт*ч. Неудовлетворенный объем спроса в сентябре 2020 года составил 27696 тыс. кВт*ч, а неудовлетворенное предложение 4</w:t>
      </w:r>
      <w:r w:rsidR="006A2723" w:rsidRPr="007A7C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368 тыс. кВт*ч. В процессе спот-торгов в торговую систему всего было принято заявок в количестве - 89, из них, 68 заявок от покупателей и 21 заявка от продавцов. </w:t>
      </w:r>
    </w:p>
    <w:p w:rsidR="001338ED" w:rsidRPr="007A7C51" w:rsidRDefault="001338ED" w:rsidP="007A7C51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7A7C51">
        <w:rPr>
          <w:rFonts w:ascii="Times New Roman" w:hAnsi="Times New Roman" w:cs="Times New Roman"/>
          <w:b/>
          <w:i/>
          <w:color w:val="auto"/>
          <w:sz w:val="28"/>
        </w:rPr>
        <w:t>Итоги спот-торгов «в течение операционных суток»</w:t>
      </w:r>
      <w:bookmarkEnd w:id="22"/>
    </w:p>
    <w:p w:rsidR="001338ED" w:rsidRPr="007A7C51" w:rsidRDefault="001338ED" w:rsidP="007A7C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Toc510196480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торгов в сентябре 2020 года сделок заключено не было. По итогам проведенных спот-торгов «в течение операционных суток» в сентябре 2019 года было заключено 120 сделок в объеме 600 тыс. кВт*ч на общую сумму 3 888 тыс. тенге. Минимальная и максимальная цена на спот-торгах «в течение операционных суток» составила 6,48 </w:t>
      </w:r>
      <w:proofErr w:type="spellStart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1338ED" w:rsidRPr="007A7C51" w:rsidRDefault="001338ED" w:rsidP="007A7C51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7A7C51">
        <w:rPr>
          <w:rFonts w:ascii="Times New Roman" w:hAnsi="Times New Roman" w:cs="Times New Roman"/>
          <w:b/>
          <w:i/>
          <w:color w:val="auto"/>
          <w:sz w:val="28"/>
        </w:rPr>
        <w:t>Итоги торгов на средне- и долгосрочный период</w:t>
      </w:r>
      <w:bookmarkEnd w:id="23"/>
    </w:p>
    <w:p w:rsidR="001338ED" w:rsidRPr="007A7C51" w:rsidRDefault="001338ED" w:rsidP="007A7C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торгов на средне- и долгосрочный периоды в сентябре 2020 года были заключены 2 сделки объемом 86 112 тыс. кВт*ч на общую сумму 674 919,36 тыс. тенге (без НДС). Минимальная цена по данному виду централизованных торгов составила – 5,76 </w:t>
      </w:r>
      <w:proofErr w:type="spellStart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и максимальная – 7,95 </w:t>
      </w:r>
      <w:proofErr w:type="spellStart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 Сделки были зарегистрированы по итогам проведения централизованных торгов электрической энергией с периодом поставки – квартал.</w:t>
      </w:r>
    </w:p>
    <w:p w:rsidR="001338ED" w:rsidRPr="007A7C51" w:rsidRDefault="001338ED" w:rsidP="007A7C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аналогичным периодом 2019 года в сентябре 2020 года по торгам на средне- и долгосрочный период произошло снижение объема торгов в 52 раза.</w:t>
      </w:r>
    </w:p>
    <w:p w:rsidR="001338ED" w:rsidRPr="007A7C51" w:rsidRDefault="001338ED" w:rsidP="007A7C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2019 года по итогам торгов на средне- и долгосрочный периоды были заключены 52 сделки объемом 4 459 608 тыс. кВт*ч на общую сумму 25 583 985,6 тыс. тенге (без НДС). Минимальная цена по данному виду централизованных торгов составила 1,1 </w:t>
      </w:r>
      <w:proofErr w:type="spellStart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максимальная – 8,8 </w:t>
      </w:r>
      <w:proofErr w:type="spellStart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7A7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НДС). </w:t>
      </w:r>
    </w:p>
    <w:p w:rsidR="001338ED" w:rsidRPr="007A7C51" w:rsidRDefault="001338ED" w:rsidP="007A7C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8ED" w:rsidRPr="007A7C51" w:rsidRDefault="001338ED" w:rsidP="007A7C51">
      <w:pPr>
        <w:pStyle w:val="1"/>
        <w:numPr>
          <w:ilvl w:val="0"/>
          <w:numId w:val="1"/>
        </w:numPr>
        <w:tabs>
          <w:tab w:val="left" w:pos="426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auto"/>
        </w:rPr>
      </w:pPr>
      <w:bookmarkStart w:id="24" w:name="_Toc52533539"/>
      <w:r w:rsidRPr="007A7C51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24"/>
    </w:p>
    <w:p w:rsidR="001338ED" w:rsidRPr="007A7C51" w:rsidRDefault="001338ED" w:rsidP="007A7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8ED" w:rsidRPr="007A7C51" w:rsidRDefault="001338ED" w:rsidP="007A7C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7A7C51">
        <w:rPr>
          <w:rFonts w:ascii="Times New Roman" w:hAnsi="Times New Roman" w:cs="Times New Roman"/>
          <w:sz w:val="28"/>
          <w:szCs w:val="28"/>
        </w:rPr>
        <w:t xml:space="preserve">В январе-сентябре 2020 года основным направлением экспорта-импорта электроэнергии РК стала РФ (экспорт в РФ – 767,5 млн. </w:t>
      </w:r>
      <w:proofErr w:type="spellStart"/>
      <w:r w:rsidRPr="007A7C5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  <w:szCs w:val="28"/>
        </w:rPr>
        <w:t xml:space="preserve">, импорт из РФ – 843,5 млн. </w:t>
      </w:r>
      <w:proofErr w:type="spellStart"/>
      <w:r w:rsidRPr="007A7C5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  <w:szCs w:val="28"/>
        </w:rPr>
        <w:t>). АО «</w:t>
      </w:r>
      <w:r w:rsidRPr="007A7C51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7A7C51">
        <w:rPr>
          <w:rFonts w:ascii="Times New Roman" w:hAnsi="Times New Roman" w:cs="Times New Roman"/>
          <w:sz w:val="28"/>
          <w:szCs w:val="28"/>
        </w:rPr>
        <w:t xml:space="preserve">» – 727,5 млн. </w:t>
      </w:r>
      <w:proofErr w:type="spellStart"/>
      <w:r w:rsidRPr="007A7C5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651,6 млн. </w:t>
      </w:r>
      <w:proofErr w:type="spellStart"/>
      <w:r w:rsidRPr="007A7C51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7A7C51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741F18" w:rsidRPr="007A7C51" w:rsidRDefault="00741F18" w:rsidP="007A7C51">
      <w:pPr>
        <w:tabs>
          <w:tab w:val="left" w:pos="0"/>
        </w:tabs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7A7C51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7A7C51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0312EB" w:rsidRPr="007A7C51" w:rsidTr="00E644FC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7A7C51" w:rsidRDefault="000312EB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12EB" w:rsidRPr="007A7C51" w:rsidRDefault="000312EB" w:rsidP="007A7C51">
            <w:pPr>
              <w:tabs>
                <w:tab w:val="left" w:pos="0"/>
              </w:tabs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1338ED"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2EB" w:rsidRPr="007A7C51" w:rsidRDefault="000312EB" w:rsidP="007A7C51">
            <w:pPr>
              <w:tabs>
                <w:tab w:val="left" w:pos="0"/>
              </w:tabs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1338ED"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7A7C51" w:rsidRDefault="000312EB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2020/2019гг</w:t>
            </w:r>
          </w:p>
        </w:tc>
      </w:tr>
      <w:tr w:rsidR="000312EB" w:rsidRPr="007A7C51" w:rsidTr="00E644FC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7A7C51" w:rsidRDefault="000312EB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EB" w:rsidRPr="007A7C51" w:rsidRDefault="000312EB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2EB" w:rsidRPr="007A7C51" w:rsidRDefault="000312EB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7A7C51" w:rsidRDefault="000312EB" w:rsidP="007A7C51">
            <w:pPr>
              <w:tabs>
                <w:tab w:val="left" w:pos="0"/>
              </w:tabs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7A7C51" w:rsidRDefault="0047172D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338ED" w:rsidRPr="007A7C51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38ED" w:rsidRPr="007A7C51" w:rsidRDefault="001338ED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4 115,3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1 319,9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-67,9%</w:t>
            </w:r>
          </w:p>
        </w:tc>
      </w:tr>
      <w:tr w:rsidR="001338ED" w:rsidRPr="007A7C51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ED" w:rsidRPr="007A7C51" w:rsidRDefault="001338ED" w:rsidP="007A7C51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4 112,1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-81,3%</w:t>
            </w:r>
          </w:p>
        </w:tc>
      </w:tr>
      <w:tr w:rsidR="001338ED" w:rsidRPr="007A7C51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ED" w:rsidRPr="007A7C51" w:rsidRDefault="001338ED" w:rsidP="007A7C51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552,4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17230%</w:t>
            </w:r>
          </w:p>
        </w:tc>
      </w:tr>
      <w:tr w:rsidR="001338ED" w:rsidRPr="007A7C51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38ED" w:rsidRPr="007A7C51" w:rsidRDefault="001338ED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1 033,0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12,1%</w:t>
            </w:r>
          </w:p>
        </w:tc>
      </w:tr>
      <w:tr w:rsidR="001338ED" w:rsidRPr="007A7C51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ED" w:rsidRPr="007A7C51" w:rsidRDefault="001338ED" w:rsidP="007A7C51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1 029,6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-18,1%</w:t>
            </w:r>
          </w:p>
        </w:tc>
      </w:tr>
      <w:tr w:rsidR="001338ED" w:rsidRPr="007A7C51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8ED" w:rsidRPr="007A7C51" w:rsidRDefault="001338ED" w:rsidP="007A7C51">
            <w:pPr>
              <w:tabs>
                <w:tab w:val="left" w:pos="0"/>
              </w:tabs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9331,5%</w:t>
            </w:r>
          </w:p>
        </w:tc>
      </w:tr>
      <w:tr w:rsidR="001338ED" w:rsidRPr="007A7C51" w:rsidTr="00E644FC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38ED" w:rsidRPr="007A7C51" w:rsidRDefault="001338ED" w:rsidP="007A7C5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7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-3 082,4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ED" w:rsidRPr="007A7C51" w:rsidRDefault="001338ED" w:rsidP="007A7C5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A7C5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-94,8%</w:t>
            </w:r>
          </w:p>
        </w:tc>
      </w:tr>
    </w:tbl>
    <w:p w:rsidR="00776138" w:rsidRPr="007A7C51" w:rsidRDefault="00776138" w:rsidP="007A7C51">
      <w:pPr>
        <w:tabs>
          <w:tab w:val="left" w:pos="0"/>
        </w:tabs>
        <w:spacing w:after="0" w:line="240" w:lineRule="auto"/>
        <w:ind w:left="283"/>
        <w:rPr>
          <w:rFonts w:ascii="Times New Roman" w:hAnsi="Times New Roman" w:cs="Times New Roman"/>
          <w:sz w:val="24"/>
        </w:rPr>
      </w:pPr>
    </w:p>
    <w:p w:rsidR="00882305" w:rsidRPr="007A7C51" w:rsidRDefault="00882305" w:rsidP="007A7C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  <w:r w:rsidRPr="007A7C51">
        <w:rPr>
          <w:rFonts w:ascii="Times New Roman" w:hAnsi="Times New Roman" w:cs="Times New Roman"/>
        </w:rPr>
        <w:br w:type="page"/>
      </w:r>
    </w:p>
    <w:p w:rsidR="008647BB" w:rsidRPr="007A7C51" w:rsidRDefault="00B94F51" w:rsidP="007A7C51">
      <w:pPr>
        <w:pStyle w:val="1"/>
        <w:tabs>
          <w:tab w:val="left" w:pos="0"/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5" w:name="_Toc34079822"/>
      <w:r w:rsidRPr="007A7C51">
        <w:rPr>
          <w:rFonts w:ascii="Times New Roman" w:hAnsi="Times New Roman" w:cs="Times New Roman"/>
          <w:b/>
          <w:color w:val="auto"/>
        </w:rPr>
        <w:t>РАЗДЕЛ II</w:t>
      </w:r>
      <w:bookmarkEnd w:id="25"/>
    </w:p>
    <w:p w:rsidR="004550F2" w:rsidRPr="007A7C51" w:rsidRDefault="004550F2" w:rsidP="007A7C5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:rsidR="00387115" w:rsidRPr="007A7C51" w:rsidRDefault="00387115" w:rsidP="007A7C51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6" w:name="_Toc34079823"/>
      <w:r w:rsidRPr="007A7C51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7A7C51">
        <w:rPr>
          <w:rFonts w:ascii="Times New Roman" w:hAnsi="Times New Roman" w:cs="Times New Roman"/>
          <w:b/>
          <w:color w:val="auto"/>
        </w:rPr>
        <w:t>я</w:t>
      </w:r>
      <w:r w:rsidRPr="007A7C51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6"/>
    </w:p>
    <w:p w:rsidR="00C82DFF" w:rsidRPr="007A7C51" w:rsidRDefault="00C82DFF" w:rsidP="007A7C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4F55A3" w:rsidRPr="007A7C51" w:rsidRDefault="004F55A3" w:rsidP="007A7C51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электроэнергетический рынок Евразийского экономического союза планируется сформировать путем интеграции национальных рынков электроэнергии </w:t>
      </w:r>
      <w:r w:rsidRPr="007A7C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Армении, Белоруссии, Казахстана, Кыргызстана и России. </w:t>
      </w:r>
      <w:r w:rsidRPr="007A7C51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Государства-члены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государств-членов.</w:t>
      </w:r>
    </w:p>
    <w:p w:rsidR="004F55A3" w:rsidRPr="007A7C51" w:rsidRDefault="004F55A3" w:rsidP="007A7C51">
      <w:pPr>
        <w:pBdr>
          <w:bottom w:val="single" w:sz="4" w:space="0" w:color="FFFFFF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51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будет соблюден баланс экономических интересов производителей и потребителей электрической энергии, а также других субъектов ОЭР ЕАЭС.</w:t>
      </w:r>
    </w:p>
    <w:p w:rsidR="004F55A3" w:rsidRPr="007A7C51" w:rsidRDefault="004F55A3" w:rsidP="007A7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7C51">
        <w:rPr>
          <w:rFonts w:ascii="Times New Roman" w:eastAsia="Calibri" w:hAnsi="Times New Roman" w:cs="Times New Roman"/>
          <w:sz w:val="28"/>
          <w:szCs w:val="28"/>
          <w:lang w:eastAsia="ru-RU"/>
        </w:rPr>
        <w:t>29 мая 2019 года в рамках празднования пятилетия подписания Договора</w:t>
      </w:r>
      <w:r w:rsidRPr="007A7C51">
        <w:rPr>
          <w:rFonts w:ascii="Times New Roman" w:hAnsi="Times New Roman" w:cs="Times New Roman"/>
        </w:rPr>
        <w:t xml:space="preserve"> </w:t>
      </w:r>
      <w:r w:rsidRPr="007A7C51">
        <w:rPr>
          <w:rFonts w:ascii="Times New Roman" w:eastAsia="Calibri" w:hAnsi="Times New Roman" w:cs="Times New Roman"/>
          <w:sz w:val="28"/>
          <w:szCs w:val="28"/>
          <w:lang w:eastAsia="ru-RU"/>
        </w:rPr>
        <w:t>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(в части формирования общего электроэнергетического рынка Евразийского экономического союза).</w:t>
      </w:r>
    </w:p>
    <w:p w:rsidR="004F55A3" w:rsidRPr="007A7C51" w:rsidRDefault="004F55A3" w:rsidP="007A7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7A7C51">
        <w:rPr>
          <w:rFonts w:ascii="Times New Roman" w:eastAsia="Calibri" w:hAnsi="Times New Roman" w:cs="Times New Roman"/>
          <w:sz w:val="28"/>
          <w:szCs w:val="28"/>
          <w:lang w:eastAsia="ru-RU"/>
        </w:rPr>
        <w:t>20 декабря 2019 года Высшим советом принято Решение № 31 «О плане мероприятий, направленных на формирование общего электроэнергетического рынка Евразийского экономического союза», устанавливающего в том числе сроки утверждения и вступления в силу правил функционирования общего электроэнергетического рынка Союза, а также других актов, предусмотренных указанным Протоколом.</w:t>
      </w:r>
    </w:p>
    <w:p w:rsidR="004F55A3" w:rsidRPr="007A7C51" w:rsidRDefault="004F55A3" w:rsidP="007A7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hAnsi="Times New Roman" w:cs="Times New Roman"/>
          <w:sz w:val="28"/>
        </w:rPr>
        <w:t>В настоящее время государствами-членами ЕАЭС проводится работа по разработке и согласованию правил функционирования ОЭР ЕАЭС.</w:t>
      </w:r>
    </w:p>
    <w:p w:rsidR="001338ED" w:rsidRPr="007A7C51" w:rsidRDefault="001338ED" w:rsidP="007A7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hAnsi="Times New Roman" w:cs="Times New Roman"/>
          <w:sz w:val="28"/>
        </w:rPr>
        <w:t xml:space="preserve">В 2020 году проведено 13-е заседание Консультативного комитета по электроэнергетике при Коллегии ЕЭК в заочном формате (26 мая), пять заседаний Подкомитета по формированию ОЭР ЕАЭС Консультативного комитета по электроэнергетике при Коллегии ЕЭК (49-е заседание 23-24 января, 50-е заседание 29 мая, 51-е заседание 02 июля, 52-е заседание 20-21 августа, 53-е заседание 24-25 сентября), одно совещание членов Подкомитета (20-21 февраля) и один семинар по организации оптового рынка Российской Федерации и договорной конструкции на нем (30 сентября). </w:t>
      </w:r>
    </w:p>
    <w:p w:rsidR="004F55A3" w:rsidRPr="007A7C51" w:rsidRDefault="004F55A3" w:rsidP="007A7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hAnsi="Times New Roman" w:cs="Times New Roman"/>
          <w:sz w:val="28"/>
        </w:rPr>
        <w:t xml:space="preserve">Работа по формированию общего электроэнергетического рынка Евразийского экономического союза продолжается. </w:t>
      </w:r>
    </w:p>
    <w:p w:rsidR="00E37727" w:rsidRPr="007A7C51" w:rsidRDefault="00E37727" w:rsidP="007A7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7A7C51" w:rsidRDefault="006432D5" w:rsidP="007A7C5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7A7C51" w:rsidRDefault="00387115" w:rsidP="007A7C51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7" w:name="_Toc34079824"/>
      <w:r w:rsidRPr="007A7C51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7A7C51">
        <w:rPr>
          <w:rFonts w:ascii="Times New Roman" w:hAnsi="Times New Roman" w:cs="Times New Roman"/>
          <w:b/>
          <w:color w:val="auto"/>
        </w:rPr>
        <w:t>Э</w:t>
      </w:r>
      <w:r w:rsidRPr="007A7C51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27"/>
    </w:p>
    <w:p w:rsidR="00387115" w:rsidRPr="007A7C51" w:rsidRDefault="00387115" w:rsidP="007A7C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7A7C51" w:rsidRDefault="006B1F89" w:rsidP="007A7C5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hAnsi="Times New Roman" w:cs="Times New Roman"/>
          <w:sz w:val="28"/>
        </w:rPr>
        <w:t>С 1992 года проведено 5</w:t>
      </w:r>
      <w:r w:rsidR="00CE4C8F" w:rsidRPr="007A7C51">
        <w:rPr>
          <w:rFonts w:ascii="Times New Roman" w:hAnsi="Times New Roman" w:cs="Times New Roman"/>
          <w:sz w:val="28"/>
        </w:rPr>
        <w:t>5</w:t>
      </w:r>
      <w:r w:rsidRPr="007A7C51">
        <w:rPr>
          <w:rFonts w:ascii="Times New Roman" w:hAnsi="Times New Roman" w:cs="Times New Roman"/>
          <w:sz w:val="28"/>
        </w:rPr>
        <w:t xml:space="preserve"> заседани</w:t>
      </w:r>
      <w:r w:rsidR="00CE4C8F" w:rsidRPr="007A7C51">
        <w:rPr>
          <w:rFonts w:ascii="Times New Roman" w:hAnsi="Times New Roman" w:cs="Times New Roman"/>
          <w:sz w:val="28"/>
        </w:rPr>
        <w:t>й</w:t>
      </w:r>
      <w:r w:rsidR="0007078E" w:rsidRPr="007A7C51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  <w:bookmarkStart w:id="28" w:name="_GoBack"/>
      <w:bookmarkEnd w:id="28"/>
    </w:p>
    <w:p w:rsidR="00387115" w:rsidRPr="007A7C51" w:rsidRDefault="0007078E" w:rsidP="007A7C5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7C51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7A7C51">
        <w:rPr>
          <w:rFonts w:ascii="Times New Roman" w:hAnsi="Times New Roman" w:cs="Times New Roman"/>
          <w:sz w:val="28"/>
        </w:rPr>
        <w:t>.</w:t>
      </w:r>
    </w:p>
    <w:p w:rsidR="006C3EF7" w:rsidRPr="007A7C51" w:rsidRDefault="006C3EF7" w:rsidP="007A7C5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7A7C51" w:rsidTr="006C3EF7">
        <w:trPr>
          <w:trHeight w:val="845"/>
        </w:trPr>
        <w:tc>
          <w:tcPr>
            <w:tcW w:w="217" w:type="pct"/>
            <w:vAlign w:val="center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7A7C51" w:rsidTr="006C3EF7">
        <w:trPr>
          <w:trHeight w:val="1560"/>
        </w:trPr>
        <w:tc>
          <w:tcPr>
            <w:tcW w:w="217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7A7C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7A7C51" w:rsidRDefault="006C3EF7" w:rsidP="007A7C51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7A7C51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7A7C51" w:rsidRDefault="006C3EF7" w:rsidP="007A7C51">
            <w:pPr>
              <w:pStyle w:val="ae"/>
              <w:tabs>
                <w:tab w:val="left" w:pos="0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7A7C51" w:rsidTr="006C3EF7">
        <w:trPr>
          <w:trHeight w:val="560"/>
        </w:trPr>
        <w:tc>
          <w:tcPr>
            <w:tcW w:w="217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7A7C51" w:rsidTr="006C3EF7">
        <w:trPr>
          <w:trHeight w:val="2088"/>
        </w:trPr>
        <w:tc>
          <w:tcPr>
            <w:tcW w:w="217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7A7C51" w:rsidTr="006C3EF7">
        <w:trPr>
          <w:trHeight w:val="1410"/>
        </w:trPr>
        <w:tc>
          <w:tcPr>
            <w:tcW w:w="217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7A7C51" w:rsidRDefault="006C3EF7" w:rsidP="007A7C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7A7C51" w:rsidTr="006C3EF7">
        <w:trPr>
          <w:trHeight w:val="2404"/>
        </w:trPr>
        <w:tc>
          <w:tcPr>
            <w:tcW w:w="217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7A7C51" w:rsidRDefault="006C3EF7" w:rsidP="007A7C5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7A7C51" w:rsidRDefault="006C3EF7" w:rsidP="007A7C5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C51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7A7C51" w:rsidRDefault="008928B2" w:rsidP="007A7C51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3B36BC" w:rsidRPr="007A7C51" w:rsidRDefault="001D295E" w:rsidP="007A7C51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7A7C51">
        <w:rPr>
          <w:rFonts w:ascii="Times New Roman" w:hAnsi="Times New Roman" w:cs="Times New Roman"/>
          <w:b/>
          <w:color w:val="auto"/>
        </w:rPr>
        <w:t xml:space="preserve"> </w:t>
      </w:r>
      <w:bookmarkStart w:id="29" w:name="_Toc34079825"/>
      <w:r w:rsidR="00A32670" w:rsidRPr="007A7C51">
        <w:rPr>
          <w:rFonts w:ascii="Times New Roman" w:hAnsi="Times New Roman" w:cs="Times New Roman"/>
          <w:b/>
          <w:color w:val="auto"/>
        </w:rPr>
        <w:t xml:space="preserve">Статус реализации проекта </w:t>
      </w:r>
      <w:r w:rsidR="00A11C70" w:rsidRPr="007A7C51">
        <w:rPr>
          <w:rFonts w:ascii="Times New Roman" w:hAnsi="Times New Roman" w:cs="Times New Roman"/>
          <w:b/>
          <w:color w:val="auto"/>
        </w:rPr>
        <w:t>CASA-1000</w:t>
      </w:r>
      <w:bookmarkEnd w:id="29"/>
    </w:p>
    <w:p w:rsidR="00C82DFF" w:rsidRPr="007A7C51" w:rsidRDefault="00C82DFF" w:rsidP="007A7C51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en-US"/>
        </w:rPr>
      </w:pPr>
    </w:p>
    <w:p w:rsidR="006C42DB" w:rsidRPr="007A7C51" w:rsidRDefault="006C42DB" w:rsidP="007A7C51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7A7C51">
        <w:rPr>
          <w:rStyle w:val="body-c-c0"/>
          <w:i/>
          <w:sz w:val="28"/>
        </w:rPr>
        <w:t>Описание проекта</w:t>
      </w:r>
    </w:p>
    <w:p w:rsidR="006C42DB" w:rsidRPr="007A7C51" w:rsidRDefault="006C42DB" w:rsidP="007A7C51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7A7C51">
        <w:rPr>
          <w:rStyle w:val="body-c-c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7A7C51" w:rsidRDefault="006C42DB" w:rsidP="007A7C51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7A7C51">
        <w:rPr>
          <w:rStyle w:val="body-c-c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7A7C51">
        <w:rPr>
          <w:rStyle w:val="body-c-c0"/>
          <w:sz w:val="28"/>
        </w:rPr>
        <w:t>кВтч</w:t>
      </w:r>
      <w:proofErr w:type="spellEnd"/>
      <w:r w:rsidRPr="007A7C51">
        <w:rPr>
          <w:rStyle w:val="body-c-c0"/>
          <w:sz w:val="28"/>
        </w:rPr>
        <w:t xml:space="preserve"> в год.</w:t>
      </w:r>
    </w:p>
    <w:p w:rsidR="006C42DB" w:rsidRPr="007A7C51" w:rsidRDefault="006C42DB" w:rsidP="007A7C51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7A7C51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7A7C51" w:rsidRDefault="006C42DB" w:rsidP="007A7C51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7A7C51">
        <w:rPr>
          <w:rStyle w:val="body-c-c0"/>
          <w:sz w:val="28"/>
        </w:rPr>
        <w:t xml:space="preserve">Проект разделен на два основных пакета: </w:t>
      </w:r>
    </w:p>
    <w:p w:rsidR="006C42DB" w:rsidRPr="007A7C51" w:rsidRDefault="006C42DB" w:rsidP="007A7C51">
      <w:pPr>
        <w:pStyle w:val="ad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7A7C51">
        <w:rPr>
          <w:rStyle w:val="body-c-c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7A7C51" w:rsidDel="00473F4C">
        <w:rPr>
          <w:rStyle w:val="body-c-c0"/>
          <w:sz w:val="28"/>
          <w:szCs w:val="28"/>
        </w:rPr>
        <w:t xml:space="preserve"> </w:t>
      </w:r>
      <w:r w:rsidRPr="007A7C51">
        <w:rPr>
          <w:rStyle w:val="body-c-c0"/>
          <w:sz w:val="28"/>
          <w:szCs w:val="28"/>
        </w:rPr>
        <w:t>и Пакистане;</w:t>
      </w:r>
    </w:p>
    <w:p w:rsidR="006C42DB" w:rsidRPr="007A7C51" w:rsidRDefault="006C42DB" w:rsidP="007A7C51">
      <w:pPr>
        <w:pStyle w:val="ad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7A7C51">
        <w:rPr>
          <w:rStyle w:val="body-c-c0"/>
          <w:sz w:val="28"/>
          <w:szCs w:val="28"/>
        </w:rPr>
        <w:t xml:space="preserve">строительство </w:t>
      </w:r>
      <w:proofErr w:type="gramStart"/>
      <w:r w:rsidRPr="007A7C51">
        <w:rPr>
          <w:rStyle w:val="body-c-c0"/>
          <w:sz w:val="28"/>
          <w:szCs w:val="28"/>
        </w:rPr>
        <w:t>двух-терминальных</w:t>
      </w:r>
      <w:proofErr w:type="gramEnd"/>
      <w:r w:rsidRPr="007A7C51">
        <w:rPr>
          <w:rStyle w:val="body-c-c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410BC9" w:rsidRPr="007A7C51" w:rsidRDefault="006C42DB" w:rsidP="007A7C51">
      <w:pPr>
        <w:pStyle w:val="ad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C51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7A7C51">
        <w:rPr>
          <w:rStyle w:val="body-c-c0"/>
          <w:sz w:val="28"/>
          <w:szCs w:val="28"/>
        </w:rPr>
        <w:t>2 месяца (2021г).</w:t>
      </w:r>
    </w:p>
    <w:p w:rsidR="00435F25" w:rsidRPr="007A7C51" w:rsidRDefault="00435F25" w:rsidP="007A7C51">
      <w:pPr>
        <w:pStyle w:val="a3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7A7C51" w:rsidRDefault="000A3B02" w:rsidP="007A7C51">
      <w:pPr>
        <w:pStyle w:val="1"/>
        <w:numPr>
          <w:ilvl w:val="0"/>
          <w:numId w:val="1"/>
        </w:numPr>
        <w:tabs>
          <w:tab w:val="left" w:pos="0"/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0" w:name="_Toc525902070"/>
      <w:bookmarkStart w:id="31" w:name="_Toc34079826"/>
      <w:bookmarkStart w:id="32" w:name="_Hlk10046153"/>
      <w:r w:rsidRPr="007A7C51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30"/>
      <w:bookmarkEnd w:id="31"/>
    </w:p>
    <w:p w:rsidR="00620733" w:rsidRPr="007A7C51" w:rsidRDefault="000A3B02" w:rsidP="007A7C51">
      <w:pPr>
        <w:pStyle w:val="a3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7C51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7A7C51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bookmarkEnd w:id="32"/>
    <w:p w:rsidR="007E21EB" w:rsidRPr="007A7C51" w:rsidRDefault="007E21EB" w:rsidP="007A7C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38ED" w:rsidRPr="007A7C51" w:rsidRDefault="001338ED" w:rsidP="007A7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7C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Кыргызская Республика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потери электроэнергии в 2019 году составили 2,3 млрд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кВт.ч</w:t>
      </w:r>
      <w:proofErr w:type="spellEnd"/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потери электроэнергии в 2019 году составили 2 млрд 337,6 млн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(15,4% к объему отпущенной электроэнергии). Об этом говорится в материалах Национального статистического комитета Кыргызстана.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технологические потери составили 2 млрд 317,2 млн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(99% к общим потерям).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по республике в 2019 году предприятия энергетической отрасли произвели более 15 млрд кВт. часов электроэнергии, что на 3,9% меньше, чем в 2018 году. При этом, около 92% ее объема выработано гидроэлектростанциями.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 распределение электроэнергии в 2019 году: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2261"/>
      </w:tblGrid>
      <w:tr w:rsidR="001338ED" w:rsidRPr="007A7C51" w:rsidTr="006A2723">
        <w:tc>
          <w:tcPr>
            <w:tcW w:w="453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ind w:firstLine="709"/>
              <w:contextualSpacing/>
              <w:jc w:val="both"/>
              <w:rPr>
                <w:color w:val="333333"/>
              </w:rPr>
            </w:pPr>
          </w:p>
        </w:tc>
        <w:tc>
          <w:tcPr>
            <w:tcW w:w="2552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ind w:firstLine="5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млн кВт. часов</w:t>
            </w:r>
          </w:p>
        </w:tc>
        <w:tc>
          <w:tcPr>
            <w:tcW w:w="226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В процентах к 2018</w:t>
            </w:r>
          </w:p>
        </w:tc>
      </w:tr>
      <w:tr w:rsidR="001338ED" w:rsidRPr="007A7C51" w:rsidTr="006A2723">
        <w:tc>
          <w:tcPr>
            <w:tcW w:w="453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7A7C51">
              <w:rPr>
                <w:color w:val="333333"/>
              </w:rPr>
              <w:t xml:space="preserve">Произведено электроэнергии </w:t>
            </w:r>
          </w:p>
        </w:tc>
        <w:tc>
          <w:tcPr>
            <w:tcW w:w="2552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ind w:firstLine="5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15 115,2</w:t>
            </w:r>
          </w:p>
        </w:tc>
        <w:tc>
          <w:tcPr>
            <w:tcW w:w="226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96,1</w:t>
            </w:r>
          </w:p>
        </w:tc>
      </w:tr>
      <w:tr w:rsidR="001338ED" w:rsidRPr="007A7C51" w:rsidTr="006A2723">
        <w:tc>
          <w:tcPr>
            <w:tcW w:w="453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7A7C51">
              <w:rPr>
                <w:color w:val="333333"/>
              </w:rPr>
              <w:t xml:space="preserve">Получено из-за пределов республики </w:t>
            </w:r>
            <w:r w:rsidRPr="007A7C51">
              <w:rPr>
                <w:color w:val="333333"/>
                <w:vertAlign w:val="superscript"/>
              </w:rPr>
              <w:t>1</w:t>
            </w:r>
          </w:p>
        </w:tc>
        <w:tc>
          <w:tcPr>
            <w:tcW w:w="2552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ind w:firstLine="5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269,2</w:t>
            </w:r>
          </w:p>
        </w:tc>
        <w:tc>
          <w:tcPr>
            <w:tcW w:w="226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в 18,1 р.</w:t>
            </w:r>
          </w:p>
        </w:tc>
      </w:tr>
      <w:tr w:rsidR="001338ED" w:rsidRPr="007A7C51" w:rsidTr="006A2723">
        <w:tc>
          <w:tcPr>
            <w:tcW w:w="453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7A7C51">
              <w:rPr>
                <w:color w:val="333333"/>
              </w:rPr>
              <w:t>Потреблено электроэнергии</w:t>
            </w:r>
          </w:p>
        </w:tc>
        <w:tc>
          <w:tcPr>
            <w:tcW w:w="2552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ind w:firstLine="5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15 115,0</w:t>
            </w:r>
          </w:p>
        </w:tc>
        <w:tc>
          <w:tcPr>
            <w:tcW w:w="226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100,8</w:t>
            </w:r>
          </w:p>
        </w:tc>
      </w:tr>
      <w:tr w:rsidR="001338ED" w:rsidRPr="007A7C51" w:rsidTr="006A2723">
        <w:tc>
          <w:tcPr>
            <w:tcW w:w="453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7A7C51">
              <w:rPr>
                <w:color w:val="333333"/>
              </w:rPr>
              <w:t xml:space="preserve">Промышленностью </w:t>
            </w:r>
            <w:r w:rsidRPr="007A7C51">
              <w:rPr>
                <w:color w:val="333333"/>
                <w:vertAlign w:val="superscript"/>
              </w:rPr>
              <w:t>2</w:t>
            </w:r>
            <w:r w:rsidRPr="007A7C51">
              <w:rPr>
                <w:color w:val="333333"/>
              </w:rPr>
              <w:tab/>
            </w:r>
            <w:r w:rsidRPr="007A7C51">
              <w:rPr>
                <w:color w:val="333333"/>
              </w:rPr>
              <w:tab/>
            </w:r>
          </w:p>
        </w:tc>
        <w:tc>
          <w:tcPr>
            <w:tcW w:w="2552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ind w:firstLine="5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6 634,5</w:t>
            </w:r>
          </w:p>
        </w:tc>
        <w:tc>
          <w:tcPr>
            <w:tcW w:w="226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102,3</w:t>
            </w:r>
          </w:p>
        </w:tc>
      </w:tr>
      <w:tr w:rsidR="001338ED" w:rsidRPr="007A7C51" w:rsidTr="006A2723">
        <w:tc>
          <w:tcPr>
            <w:tcW w:w="453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7A7C51">
              <w:rPr>
                <w:color w:val="333333"/>
              </w:rPr>
              <w:t>Сельским хозяйством</w:t>
            </w:r>
          </w:p>
        </w:tc>
        <w:tc>
          <w:tcPr>
            <w:tcW w:w="2552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ind w:firstLine="5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3 164,7</w:t>
            </w:r>
          </w:p>
        </w:tc>
        <w:tc>
          <w:tcPr>
            <w:tcW w:w="226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97,8</w:t>
            </w:r>
          </w:p>
        </w:tc>
      </w:tr>
      <w:tr w:rsidR="001338ED" w:rsidRPr="007A7C51" w:rsidTr="006A2723">
        <w:tc>
          <w:tcPr>
            <w:tcW w:w="453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7A7C51">
              <w:rPr>
                <w:color w:val="333333"/>
              </w:rPr>
              <w:t>Прочие</w:t>
            </w:r>
          </w:p>
        </w:tc>
        <w:tc>
          <w:tcPr>
            <w:tcW w:w="2552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ind w:firstLine="5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2 978,2</w:t>
            </w:r>
          </w:p>
        </w:tc>
        <w:tc>
          <w:tcPr>
            <w:tcW w:w="226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105,1</w:t>
            </w:r>
          </w:p>
        </w:tc>
      </w:tr>
      <w:tr w:rsidR="001338ED" w:rsidRPr="007A7C51" w:rsidTr="006A2723">
        <w:tc>
          <w:tcPr>
            <w:tcW w:w="453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7A7C51">
              <w:rPr>
                <w:color w:val="333333"/>
              </w:rPr>
              <w:t>Общие потери</w:t>
            </w:r>
          </w:p>
        </w:tc>
        <w:tc>
          <w:tcPr>
            <w:tcW w:w="2552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ind w:firstLine="5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2 337,6</w:t>
            </w:r>
          </w:p>
        </w:tc>
        <w:tc>
          <w:tcPr>
            <w:tcW w:w="226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96,0</w:t>
            </w:r>
          </w:p>
        </w:tc>
      </w:tr>
      <w:tr w:rsidR="001338ED" w:rsidRPr="007A7C51" w:rsidTr="006A2723">
        <w:tc>
          <w:tcPr>
            <w:tcW w:w="453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both"/>
              <w:rPr>
                <w:color w:val="333333"/>
              </w:rPr>
            </w:pPr>
            <w:r w:rsidRPr="007A7C51">
              <w:rPr>
                <w:color w:val="333333"/>
              </w:rPr>
              <w:t>Отпущено за пределы республики</w:t>
            </w:r>
          </w:p>
        </w:tc>
        <w:tc>
          <w:tcPr>
            <w:tcW w:w="2552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ind w:firstLine="5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269,4</w:t>
            </w:r>
          </w:p>
        </w:tc>
        <w:tc>
          <w:tcPr>
            <w:tcW w:w="2261" w:type="dxa"/>
          </w:tcPr>
          <w:p w:rsidR="001338ED" w:rsidRPr="007A7C51" w:rsidRDefault="001338ED" w:rsidP="007A7C51">
            <w:pPr>
              <w:pStyle w:val="ad"/>
              <w:spacing w:before="0" w:beforeAutospacing="0" w:after="0" w:afterAutospacing="0"/>
              <w:contextualSpacing/>
              <w:jc w:val="center"/>
              <w:rPr>
                <w:color w:val="333333"/>
              </w:rPr>
            </w:pPr>
            <w:r w:rsidRPr="007A7C51">
              <w:rPr>
                <w:color w:val="333333"/>
              </w:rPr>
              <w:t>35,8</w:t>
            </w:r>
          </w:p>
        </w:tc>
      </w:tr>
    </w:tbl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Износ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энергооборудования</w:t>
      </w:r>
      <w:proofErr w:type="spellEnd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Кыргызстане: В какой компании наибольший процент устаревшего оборудования?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износа основного оборудования электрических сетей составляет более 70%. Об этом сообщается в материалах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Нацэнергохолдинга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большой процент сетей и оборудования распределительных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электрокомпаний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пригодны для дальнейшей эксплуатации.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изношенного оборудования, находящегося в эксплуатации 1,5–2 нормативных срока, увеличивается и составляет порядка 20% для подстанций 35/6–10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35% для подстанций 6–10/0,4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оборудования в энергокомпаниях: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«Электрические станции» (ГЭС, ТЭЦ) — 79,80%;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«НЭС Кыргызстана»: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ПС 110-220-500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69%;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ВЛ 110-220-500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36%;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Бишкектеплосеть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Магистральные сети — 81,8%;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Распределительные сети — 70,8%;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Северэлектро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ВЛ/КЛ 0,4-6-10-35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62%;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ПС 35 (ТП, КТП 6-10/0,4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58%;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Ошэлектро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ВЛ/КЛ 0,4-6-10-35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71,5%;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ПС 35 (ТП, КТП 6-10/0,4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68,7%;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Жалалабатэлектро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ВЛ/КЛ 0,4-6-10-35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49,3%;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ПС 35 (ТП, КТП 6-10/0,4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46,5%;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Востокэлектро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ВЛ/КЛ 0,4-6-10-35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56,7%;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ПС 35 (ТП, КТП 6-10/0,4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45,6%;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Чакан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100%.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Электрическим станциям» выделят из бюджета 1 млрд сомов кредита для импорта электроэнергии с Казахстана и закупки топлива для ТЭЦ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«Национальная энергетическая холдинговая компания» поручено обеспечить заключение договора на поставку электрической энергии из Республики Казахстан в объеме до 500 млн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Министерству финансов — предоставить ОАО «Электрические станции» в период с сентября по декабрь 2020 года бюджетный кредит в размере 1 млрд сомов на оплату импортируемой электрической энергии и закупку топлива для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тэплоэлектроцентралей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Бишкек и Ош.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агентству по регулированию топливно-энергетического комплекса при правительстве КР в установленном порядке поручается пересмотреть с октября 2020 года тарифы на электрическую и тепловую энергию, отпускаемую ОАО «Электрические станции», для электрических и тепловых распределительных компаний, с учетом покрытия затрат по импорту электрической энергии и затрат на приобретение топлива для теплоэлектроцентралей городов Бишкек и Ош к осенне-зимнему периоду 2020/2021 года, в сумме 600 млн сомов.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Вице-премьеры Кыргызстана и России обсудили проекты в сфере энергетики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Вице-премьер-министр Кыргызстана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Эркин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Асрандиев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о конкретных проектах, которые были обсуждены с зампредседателя правительства России Алексеем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Оверчуком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22-го заседания Межправительственной кыргызско-российской комиссии по торгово-экономическому, научно-техническому и гуманитарному сотрудничеству.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по словам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Асрандиева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особое внимание было уделено дальнейшему развитию и углублению сотрудничества в области экономики, торговли, инвестиций, энергетики, сельского хозяйства, фармацевтической и химической продукции, а также реализации ряда совместных проектов.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отметил вице-премьер, Россия является одним из основных торговых партнеров Кыргызстана и по объему торговли занимает второе место среди наших внешнеэкономических партнеров.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готовы к дальнейшему углублению нашего сотрудничества, в частности, в области энергетики договорились в тесной кооперации с российской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РАО» о реализации проекта по созданию единого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биллингового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в Кыргызстане», - сказал он.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как подчеркнул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Асрандиев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видится перспективным и реализуемым в самое короткое время проект по производству пластин солнечных панелей. «Это хороший пример сотрудничества, когда российские инвесторы пришли в Кыргызстан, реализовали здесь проект и готовый проект поставлялся в Россию», - отметил он.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Беларусь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готовности объектов энергетики к работе в осенне-зимний период </w:t>
      </w:r>
      <w:r w:rsidRPr="007A7C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(22.09.2020)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сентября 2020 г. прошла пресс-конференция на тему готовности организаций ЖКХ и объектов энергетики к работе в осенне-зимний период. В мероприятии приняли участие представители министерства жилищно-коммунального хозяйства Республики Беларусь,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Миноблисполкома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руководство ГУ «Государственный энергетический и газовый надзор» и ГПО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Белтопгаз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 ГПО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пресс-конференции выступил заместитель главного инженера Евгений Пантелей.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Выполняются следующие мероприятия по повышению надежности электротехнического оборудования ГПО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замена изношенных выключателей 35 − 330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вводов 35 − 330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изношенных выключателей 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вакуумные, замена физически изношенных разъединителей 35 − 330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изоляторов разъединителей 35 − 110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 ячеек комплектных распределительных устройств, замена дефектных трансформаторов тока и трансформаторов напряжения 35 − 330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внедрение ограничители перенапряжений 35 − 330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6 − 10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капитальных ремонтов ЛЭП 0,4-750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14 976,6 км (62,93 % от плана на 2020 год).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мероприятий по повышению надежности электрических сетей заменены: 4086 опор 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13383 опор 0,4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361 км провода 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909,7 км провода 0,4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167,4 км грозозащитного троса на ВЛ 35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выше. Проведен ремонт 5825 распределительных пунктов и трансформаторных подстанций, централизованный ремонт 79 комплектных трансформаторных подстанций.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расчистка просек ВЛ 10-750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площади 12 027,22 га (88,2% от плана на 2020 год), также РУП-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лесхозами был наведен порядок в полосах леса, прилегающих к просекам ВЛ 10-750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протяженности 2 326,96 км (70 % от плана на 2020 год).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РУП-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расширено просек ВЛ 35-330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площади </w:t>
      </w:r>
      <w:proofErr w:type="gram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 206</w:t>
      </w:r>
      <w:proofErr w:type="gram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(23,4% от плана 2020 года).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2020 года выполнена замена 528,5 км (51,62% от плана 2020 года) неизолированных проводов ВЛ 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по землям лесного фонда, на защищенные (покрытие) провода. 7 321,03 км (63,51 % от общей протяженности) ВЛ 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по землям лесного фонда, выполнено в изолированном исполнении.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замена кабельных линий 6-10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областных, районных городах республики и в г. Минске в объеме 230,05 км (76,48% от плана 2020 года).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21 сентября текущего года эксплуатационные запасы топочного мазута РУП-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более 352 тыс. тонн.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Проверены системы пожарной автоматики,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источники наружного и внутреннего противопожарного водоснабжения, и возможности подъезда к ним.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РУП-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 184 передвижные дизельные электростанции.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Аварийно-восстановительные и оперативно-выездные бригады в полном объеме укомплектованы средствами защиты и необходимыми материалами, инструментами. Проводятся противоаварийные тренировки и инструктажи персонала.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аварийно-восстановительных и оперативно-выездных бригад по ГПО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составляет более 1250 с численностью персонала более 8 800 человек. Количество автомобильной и специальной техники составляет более 3280 единиц.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Пинском сельском РЭС успешно завершен проект автоматизации распределительных сетей.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Брестской области это первый проект подобного рода и всего третий в Беларуси. Его реализация осуществлялась в рамках Комплексного плана мероприятий по ускоренному социально-экономическому развитию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Пинского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период до 2020 г. Генеральным подрядчиком реконструкции выступило ОАО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Белэлектромонтажналадка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Несомненным достоинством проекта является то, что он реализован в основном на базе оборудования белорусского производства. 14 августа обновленный объект открыли директор филиала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Пинские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сети» РУП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Юрий КЛИМОВИЧ, заместитель генерального директора ОАО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Белэлектромонтажналадка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Олег ГРИЩУК и начальник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Пинского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РЭС Владимир ЗАБАВНЮК.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два года были выполнены реконструкция подстанций 35/10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«Рудка» и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Молотковичи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телемеханизация двенадцати ПС 35–220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реновация распределительного пункта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Тепенец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ретрофитом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ячеек 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Заменено оборудование пяти трансформаторных подстанций, установлено 128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реклоузеров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отремонтированными объектами организованы каналы связи. Основной канал связи реализован на базе PLC-модемов HTC-7075 производства ООО НПО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НовоТестСистемы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использованием существующих высокочастотных каналов. Стоимость каналов на основе этих модемов значительно ниже стоимости оборудования связи по высоковольтным линиям. За период опытной эксплуатации модемы показали устойчивое соединение, и их использование может рассматриваться как базовый вариант организации каналов связи с объектами при реализации подобных проектов.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 в Пинском районе также были установлены 55 индикаторов тока короткого замыкания ИТКЗ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LineTroll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R400D. В целях обнаружения неисправностей они используют и магнитное, и электрическое поле, эти устройства полностью автономны и не требуют внешних трансформаторов или соединений. Для определения замыкания на линии индикатор реагирует на увеличение тока сверх заданного значения и при фиксации начинает мигать. Красный светодиодный маячок показывает место повреждения и виден на большом расстоянии как в дневное, так и в ночное время суток. Весьма важным разделом проекта стала установка нового диспетчерского щита для районной диспетчерской службы. Щит представляет собой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видеостену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объединяющую несколько экранов в одно визуальное поле. Используются 32 жидкокристаллические панели высокого разрешения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Samsung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UH55F-E со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сверхузкой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рамкой 1,7 мм, что позволяет наиболее целостно считывать графическую информацию. Общий размер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видеостены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9,7х2,7 м. Такой диспетчерский щит, построенный на дисплейных панелях, позволяет не только выводить на экран динамическую модель сети 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дает возможность получить актуальную техническую информацию по каждой конкретной электроустановке. Диспетчер располагает схемами с привязкой к местности, режимами и программами переключений, а также фото- и видеоматериалами, полученными с камер видеонаблюдения на контролируемых объектах. По словам начальника участка автоматизированных систем управления ОАО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Белэлектромонтажналадка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Олега КОЗИКА, внедрение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видеостены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РДС поможет эффективно проводить мониторинг в рабочем режиме и оперативно реагировать в случаях аварийной обстановки или внештатных ситуаций. «Когда персонал электросетей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объезжает объекты и где-то замечает некие дефекты, то вносит их в эту диспетчерскую систему. Если происходит авария, система автоматически определяет место повреждения и локализует поврежденный участок, и диспетчер сразу же видит на экране, где именно произошла поломка. Также у него есть возможность перевести систему 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деморежим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просчитать сеть. Обычно это делается, когда появляются новые потребители или необходимо вычислить, как при ремонтных работах будет выдерживаться режим сети». Кроме того, в проекте организована система СМС-оповещения. Например, если нужно временно вывести линию, диспетчер переходит 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деморежим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видит перечень потребителей, которые будут отключены. После чего высылает им сообщение, что некоторое время в связи с ремонтными работами будет отсутствовать напряжение. При аварии на линии система формирует такой список автоматически. Такой подход дает преимущество и в плане логистики. Чтобы диспетчеру было проще находить места, куда следует ехать выездной бригаде, у него в распоряжении есть дорожная карта со всеми объектами, и на ней же отображаются точное местоположение машин ОВБ. Если нужно осмотреть определенную подстанцию, диспетчер, открыв карту, видит ближайшую к ТП машину и дает экипажу команду выезжать. «Очень удобна система выдачи нарядов. Диспетчер на своем оборудовании вводит в программу, что, где и как именно должно быть подключено. У оперативно-выездной бригады есть планшет, на который автоматически передается этот «бланк переключения». ОВБ едет на место, выполняет необходимые операции и на планшете указывает, что действие выполнено. Оповещение тут же приходит на монитор диспетчера. Вся эта процедура привязана к координатам, то есть, если ОВБ приехала не </w:t>
      </w:r>
      <w:proofErr w:type="gram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место, куда должна была, навигатор укажет, что «вы находитесь не там», – делится новшествами Олег Михайлович.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утверждают в филиале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Пинские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сети» РУП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внедрение комплекса мероприятий по автоматизации в Пинском сельском РЭС позволит: – повысить качество электроснабжения потребителей, а также безопасность персонала при производстве оперативных переключений в сети; – уменьшить денежные затраты на ремонт и эксплуатацию оборудования подстанций и время его нахождения в ремонте; – получать информацию о параметрах режима сети при различных ее состояниях, расчет обобщенных технико-экономических характеристик эксплуатации сети; – давать советы и подсказки диспетчеру по оптимальному ведению режимов сети в нормальном и послеаварийном состояниях; – отображать коммутационные аппараты и секции шин, через которые может быть подано питание на отключенный участок с указанием максимально возможной мощности, не приводящей к перегрузке других элементов сети; – минимизировать перерывы питания, потери мощности и энергии в сети, количество оперативных переключений, переездов с одного объекта на другой; – производить замену части физически изношенного и морально устаревшего оборудования сети. Надеемся, что подобные разработки найдут широкое применение в распределительных электросетях Беларуси. </w:t>
      </w:r>
    </w:p>
    <w:p w:rsidR="001338ED" w:rsidRPr="007A7C51" w:rsidRDefault="001338ED" w:rsidP="007A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Молдова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Национальное агентство по регулированию в энергетике (НАРЭ) одобрило снижение регулируемой цены на электроэнергию, поставляемую компанией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Energocom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было принято по запросу поставщика после того, как образовался профицит тарифа, который необходимо вернуть в энергетический сектор.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цена на электроэнергию, поставляемую центральным поставщиком электроэнергии, будет составлять 1 лей и 20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киловатт/час, что на 15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ниже. Пока неизвестно, повлияет ли это снижение на цену, которую платят конечные потребители. Решение вступит в силу с даты публикации 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Monitorul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Oficial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который, скорее всего, выйдет 2 октября.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Анений</w:t>
      </w:r>
      <w:proofErr w:type="spellEnd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Ной модернизированы электрические сети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надежности электроснабжения потребителей города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Ной, в конце августа текущего года SCI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Distribution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 приступила к реализации проекта строительства некоторых участков подземных электрических сетей среднего напряжения. Данная работа корректирует архитектуру сетей среднего напряжения путем подключения установок к безопасным схемам электроснабжения, заменяет воздушную линию электропередачи (ВЛЭ) с затрудненным доступом и обеспечивает безопасность зоны защиты электроустановки. Так, построены два новых участка подземных кабельных линий с уровнем напряжения 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протяженностью 1,35 км, которые объединят следующие трансформаторные подстанции: ТП 397/I16 - ТП 188AN/IF35 на длине сети 0,7 км, соответственно ТП 576/IF335 - ТП 360/IF654 на 0,65 км. В результате участок ВЛЭ 10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ТП 575AN и ТП 190AN с труднодоступной трассой и повышенным износом будет выведен из эксплуатации и исключен из схемы архитектуры локальной сети. Все потребители, питаемые от этих установок, будут подключены к новым источникам энергии, установленным в рамках проекта. Параллельно с этой работой проводятся ремонтные и профилактические работы на целевых подстанциях 10/0,4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обеспечивает повышенную надежность электроснабжения потребителей, подключенных к этим новым сетям. Общая стоимость проекта составляет 1 миллион 770 тысяч леев, утвержденных к реализации регулирующим органом в рамках инвестиционного плана, предусмотренного на 2020 год. Распределительный сектор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 в составе SCI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Energy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Distribution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SA, который реализует этот инвестиционный проект, обслуживает районы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Хынчешть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Яловень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Анений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Ной,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Кэушень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Штефан-Водэ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НАРЭ утвердило снижение регулируемой цены на электроэнергию, поставляемую компанией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Energocom</w:t>
      </w:r>
      <w:proofErr w:type="spellEnd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на 15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банов</w:t>
      </w:r>
      <w:proofErr w:type="spellEnd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до 1 лея 20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банов</w:t>
      </w:r>
      <w:proofErr w:type="spellEnd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 КВт/час.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принято 25 сентября на заседании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Админсовета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агентства по регулированию в энергетике по запросу поставщика после того, как образовался профицит тарифа, который необходимо вернуть в энергетический сектор. При этом не сообщается, повлияет ли это снижение в дальнейшем на цену, которую платят конечные потребители. Решение вступит в силу после публикации 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Monitorul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Oficial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Следует отметить, что ранее регулируемая цена на электроэнергию, поставляемую центральным поставщиком электроэнергии - компанией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Energocom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была сокращена на 23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(-14,6%) - до 135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кВт/ч (без НДС). Соответствующее решение Национальное агентство по регулированию в энергетике приняло в середине мая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с.г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НАРЭ отмечают, что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Energocom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центральный поставщик электроэнергии, поставляет на оптовый рынок электроэнергию, производимую соответствующими электростанциями, которые производят ее из возобновляемых источников энергии, а также электроэнергию, производимую городскими районными теплоцентралями. Общий объем электроэнергии, поставляемой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Energocom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-ом, как центральным поставщиком электроэнергии, составляет менее 20% от общего объема электроэнергии, продаваемой на оптовом рынке электроэнергии. Регулируемая цена на электроэнергию, поставляемую центральным поставщиком электроэнергии, является лишь одним из компонентов, на основе которого рассчитывается цена для конечных потребителей, и оказывает несущественное влияние.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Импорт в Молдову энергоресурсов в январе-июле 2020 г. в денежном выражении составил $343,88 млн, снизившись на 33,7%, в сравнении с тем же периодом 2019 г.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импорт нефти и нефтепродуктов за 7 мес. 2020 г., в сравнении с аналогичным периодом предыдущего года, в стоимостном выражении уменьшился на 34,2% - до $207,62 млн, а природного газа – снизился на 28,4% - до $119,53 млн. Импорт электроэнергии сократился на 67,3%, составив $8,11 млн. Поставки угля, кокса и брикетов за тот же период сократились на 26,4% - до $8,62 млн. Доля минерального топлива в общем объеме молдавского импорта в январе-июле 2020 г. составила 11,9% против 15,69% за тот же период годом ранее. Импорт энергоресурсов занял 5-е место в общей структуре поставок продукции в Молдову за 7 мес. 2020 г. При этом импорт нефтепродуктов в структуре общего импорта составил 7,19%, природного газа - 4,14%, электроэнергии – 0,28%, угля – 0,3%.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Минэнерго внесло в правительство проект изменений в закон об электроэнергетике, которые предусматривают продление механизма выравнивания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энерготарифов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Дальнем Востоке до 2028 года, поэтапное доведение тарифов на электроэнергию до экономически обоснованного уровня для некоторых категорий потребителей и введение механизма возврата инвестиций в проекты по строительству новых и реконструкции старых электростанций в изолированных зонах. Об этом сообщили ТАСС в пресс-службе Минэнерго.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поручением законопроект внесен в правительство.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председатель правительства Михаил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рабочей поездки на Дальний Восток поручил Минэнерго до 1 сентября представить для рассмотрения на заседании правительства изменения в закон об электроэнергетике, предусматривающие поэтапное доведение тарифов на электроэнергию до экономически обоснованного уровня: в течение трех лет - для предприятий ТЭК, а также занятых в добыче драгоценных камней и металлов; в течение пяти лет - для предприятий, финансирование деятельности которых осуществляется за счет бюджетов разных уровней, а также организаций жилищно-коммунального хозяйства.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министерству поручено предусмотреть продление механизма выравнивания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энерготарифов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Дальнем Востоке до среднероссийского уровня до 2028 года. Сниженные тарифы на электроэнергию предлагается сохранить для потребителей, присоединенных к электрическим сетям на низком уровне напряжения, предприятий малого и среднего бизнеса, присоединенных к электрическим сетям на среднем уровне напряжения, потребителей, осуществляющих свою деятельность в рамках территорий опережающего социально-экономического развития и свободного порта Владивосток и расположенных в территориально изолированных энергосистемах Дальневосточного федерального округа, а также иных энергосистемах Дальневосточного федерального округа, перечень которых утверждается правительством Российской Федерации. Также Минэнерго до 1 сентября было поручено представить на рассмотрение правительства механизмы введения возврата инвестиций на модернизацию и новое строительство электростанций, расположенных в неценовых зонах оптового рынка, в том числе и на Дальнем Востоке.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Повышение тарифов ФСК негативно отразится на экономике энергоемких производств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тарифов ФСК ЕЭС (управляет магистральными электросетями, входит в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»), предполагающая поэтапный рост тарифа на передачу электроэнергии для крупной промышленности, приведет к ухудшению экономики как самих предприятий, так и регионов, в которых они работают. Такое мнение высказал заместитель директора Ассоциации "Сообщество потребителей энергии", в которую входят более 30 крупнейших предприятий из различных отраслей экономики, Валерий Дзюбенко.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магистральным сетям подключены, как правило, энергоемкие предприятия, кратный рост сетевого тарифа приведет к тяжелым последствиям для них, а также для городов и целых регионов, где они расположены, и являются крупнейшими работодателями и налогоплательщиками. В свою очередь, малый и средний бизнес, чьи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себестоимости ничтожны, не ощутят никакого положительного эффекта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сообщил ТАСС источник, знакомый с итогами онлайн-встречи первого заместителя председателя правительства РФ Андрея Белоусова с членами бюро правления Российского союза промышленников и предпринимателей (РСПП), прошедшей 3 сентября, основной акционер НЛМК Владимир Лисин на встрече обратил внимание на то, что 80% малого и среднего бизнеса в России - это предприятия сфер торговли и услуг, которые не предполагают большого потребления электроэнергии и высокой доли затрат таких компаний на энергоресурсы, в отличие от крупных энергоемких производств. По оценке НЛМК, дифференциация тарифов будет стоить промышленным предприятиям 45 млрд рублей в год и приведет к снижение налоговых отчислений.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для снижения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тарифов ФСК ЕЭС предлагается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Россетями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Минэнерго для создания равных условий ведения бизнеса как для крупных предпринимателей, так и для малых и средних. По данным министерства, сейчас прямые потребители ФСК ЕЭС не оплачивают перекрестное субсидирование, в результате сетевой тариф для них составляет порядка 0,36 руб. за кВт ч, что в 3,6 раза ниже самого низкого единого "котлового" тарифа на передачу (на высоком уровне напряжения) и в 9 раз ниже самого высокого единого "котлового" тарифа на передачу (на низком уровне напряжения). Согласно расчетам Минэнерго, в результате дифференциации тарифов ФСК ЕЭС тарифы на услуги по передаче электроэнергии в распределительных сетях в среднем снизятся на 4,5%.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не уверены, что поэтапное повышение сетевых тарифов для одних потребителей приведет к снижению тарифа для других. Снижение тарифов для них не гарантировано.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Минэкономразвития заверяет, что в документе о дифференциации тарифов принципиально обозначено, что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результате введения этого механизма не смогут оставить себе дополнительную выручку, вся экономия будет отдана потребителю, что обеспечит снижение тарифа в сетях низкого и среднего уровней напряжения.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сообщалось на онлайн-встрече Белоусова с членами бюро правления РСПП, планируется, что повышение сетевого тарифа в магистральных сетях будет поэтапной и осуществляться в течение пяти лет для тех предприятий, кто недавно инвестировал в подключение к сетям ФСК ЕЭС, действующие правила будут сохраняться в течение семи лет.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Вице-премьер Юрий Борисов поручил заново оценить влияние дифференциации тарифа ФСК ЕЭС на экономику РФ: по указанию Борисова правительство вернуло расчеты Минэкономики на доработку и поручило министерству совместно с ФАС, Минэнерго,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Минпромторгом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Минстроем и отраслевыми бизнес-ассоциациями продолжить анализ.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Просьбу правительства пересчитать влияние дифференциации тарифов ФСК ЕЭС на экономику ТАСС также подтвердили несколько источников в отрасли. В Минэнерго ТАСС подтвердили получение соответствующего поручения, но отметили, что позиция министерства по этому вопросу остается неизменной.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Минэнерго РФ думает предложить рынку платить за федеральный резерв мощности в качестве услуги поддержания надежности энергоснабжения системы.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плата за содержание мобильных ТЭС осуществляется путем начисления вынужденной надбавки к конечной цене электроэнергии.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Замминистра отметил, что федеральный резерв мощности мог бы быть использован при расширении БАМа и Транссиба, снабжении электроэнергией города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перезарядки плавучей атомной электростанции "Академик Ломоносов", которая должна производиться каждые 10 лет.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добавил, что окончательные параметры по оплате этой мощности еще не определены.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электростанции используются в случае необходимости резервного источника дополнительной мощности. Все оборудование устанавливается на передвижные автомобильные платформы, а платформы - на площадки с готовой инфраструктурой. Такая конструкция позволяет перемещать станции из одного региона в другой, максимально оперативно реагируя на возникающий дефицит электроэнергии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«РОССЕТИ» до конца 2020 года введут 22 цифровые подстанции.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планируется ввести восемь цифровых диспетчерских пунктов. Группа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планирует до конца 2020 года ввести 22 цифровые подстанции и восемь цифровых диспетчерских пунктов. До конца 2020 года уже будут введены восемь цифровых диспетчерских пунктов и 22 цифровые подстанции. Также развивается интеллектуальный учет, использование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big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data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инструменты предиктивной аналитики, внедрение умной техники для диагностики оборудования и другое.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 2030 году реализация концепции цифровой трансформации компании позволит создать гибкую и адаптивную систему, современную технологическую инфраструктуру и новые сервисы, доступные каждому потребителю.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ведет работу в четырех контурах цифровой трансформации: умные объекты, системы управления инфраструктурой, коммуникации (в том числе с клиентами и контрагентами) и цифровой сотрудник.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 компании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декабре 2018 года одобрил концепцию «Цифровая трансформация 2030». Программа реализуется, в том числе, в дочерних предприятиях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Центр»,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и Приволжье»,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Московский регион».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концепции позволит снизить операционные и инвестиционные расходы компании, сократить потери электроэнергии, повысить надежность, доступность электроснабжения и создать набор дополнительных услуг для клиентов.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Энергосистема РФ готова выдавать электричество в сопредельные государства - "РОССЕТИ"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энергосистема готова выдавать необходимый объем электрической мощности в сопредельные государства, сказал журналистам генеральный директор ПАО "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"&gt; Павел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Ливинский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страны Балтии, Польша и Еврокомиссия подписали в Брюсселе политическое соглашение о синхронизации электросетей трех стран Балтии с сетями континентальной Европы. До 2025 года страны Балтии должны будут окончательно выйти из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энергокольца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БРЭЛЛ (Белоруссия, Россия, Эстония, Латвия, Литва) и подключиться к европейской энергосистеме.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сопредельными государствами остаются, идет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переток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литовскую энергосистему. В случае изменений, и если потребностей таких не будет, мы в любой момент можем перейти на изолированную работу, но экспорт электроэнергии осуществляется,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перетоки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работают, пока потребность в этом существует.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связь энергосистемы Калининградской области с остальной частью России ведется через электрические сети Белоруссии, Эстонии, Латвии и Литвы.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Энергонезависимость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будут обеспечивать четыре новые электростанции суммарной мощностью около 1 ГВт. Три из них (на газовом топливе) уже введены в эксплуатацию, еще одна, угольная, строится как запасная и будет работать в режиме холодного резерва.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 успешно прошли испытания работы энергосистемы региона в изолированном режиме. В течение восьми часов энергосистема Калининградской области была отключена от энергетического кольца БРЭЛЛ и работала изолированно.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Генерирующие компании массово уходят с оптового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энергорынка</w:t>
      </w:r>
      <w:proofErr w:type="spellEnd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из-за множества нерыночных механизмов.</w:t>
      </w:r>
    </w:p>
    <w:p w:rsidR="001338ED" w:rsidRPr="007A7C51" w:rsidRDefault="001338ED" w:rsidP="007A7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пять лет 49 электростанций суммарной мощностью 1,2 ГВт решили торговать электроэнергией на розничном рынке - напрямую с потребителем или сбытовой компанией. Таким способом ТЭС может вчетверо увеличить доход, отмечают эксперты, а прямой покупатель - сэкономить до 10% от стоимости электроэнергии. Остановить уход генерации могут только специальные ограничения.</w:t>
      </w:r>
    </w:p>
    <w:p w:rsidR="001338ED" w:rsidRPr="007A7C51" w:rsidRDefault="001338ED" w:rsidP="007A7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Оптовый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энергорынок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теряет привлекательность для генерирующих компаний. С 2015 года в розничный сегмент ушли 49 электростанций суммарной установленной мощностью 1,25 ГВт, в Совете рынка (регулятор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энергорынков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 правилам с опта на розницу могут перейти станции мощностью не более 25 МВт, а крупным объектам это запрещено. Как отмечают в "Совете рынка", переход происходит по экономическим причинам, поскольку условия работы на розничном рынке для некоторых станций оказываются более привлекательными.</w:t>
      </w:r>
    </w:p>
    <w:p w:rsidR="001338ED" w:rsidRPr="007A7C51" w:rsidRDefault="001338ED" w:rsidP="007A7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электроэнергии на оптовом рынке складывается из двух составляющих - мощности (готовность к работе) и электроэнергии (реально выработанные киловатт-часы). У большинства ТЭС платеж за мощность формируется через механизм конкурентного отбора мощности (КОМ). Однако часть станций получает еще и разные доплаты: надбавку по программе договоров на поставку мощности (ДПМ, гарантирует возврат инвестиций в строительство объекта), для снижения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энерготарифов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Дальнем Востоке, строительства новой генерации в Калининградской области и Крыму. Из-за роста числа надбавок средняя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одноставочная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оптового рынка постоянно растет: за январь - июль текущего года она составляла 2,5 тыс. руб. за 1 МВт-ч в первой ценовой зоне (европейская часть РФ и Урал) и 1,8 тыс. руб. за 1 МВт-ч во второй ценовой зоне.</w:t>
      </w:r>
    </w:p>
    <w:p w:rsidR="001338ED" w:rsidRPr="007A7C51" w:rsidRDefault="001338ED" w:rsidP="007A7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розничном рынке цена формируется по-другому. Электростанция мощностью менее 25 МВт продает электроэнергию конкретному потребителю, гарантирующему поставщику (ГП) или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(ЭСК). Причем договорная цена не может быть выше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оптового рынка. Если станция получает только платеж по КОМ, но не получает других доплат за мощность, то ей становится выгоднее договориться с потребителем напрямую. Кроме того, у производителей электроэнергии на розничном рынке отсутствуют требования по поддержанию оборудования в работоспособном состоянии, а также нет необходимости проходить процедуру отбора мощности, добавляют в "Совете рынка". Некоторые генераторы специально снижают мощность своих станций, чтобы уйти на розничный рынок.</w:t>
      </w:r>
    </w:p>
    <w:p w:rsidR="001338ED" w:rsidRPr="007A7C51" w:rsidRDefault="001338ED" w:rsidP="007A7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Совете производителей энергии (СПЭ, объединяет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генкомпании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что на розничный рынок в первую очередь уходят объекты, которые не могут конкурировать с высокоэффективной генерацией на оптовом рынке. В СПЭ считают, что необходимо поднимать вопрос о доработке моделей оптового и розничного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энергорынков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через развитие института свободных двусторонних договоров, выравнивание условий функционирования распределенной генерации и генерации оптового рынка. В Ассоциации ГП и ЭСК соглашаются, что без введения специальных ограничений тренд на уход генерации с оптового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энергорынка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продолжаться.</w:t>
      </w:r>
    </w:p>
    <w:p w:rsidR="001338ED" w:rsidRPr="007A7C51" w:rsidRDefault="001338ED" w:rsidP="007A7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стилистику инициатив по введению оплаты сетевого резерва и дифференциации тарифа ФСК, не исключаем, что вместо ликвидации нерыночных надбавок для восстановления привлекательности оптового рынка могут появиться предложения о рестрикциях и надбавках для розничной генерации.</w:t>
      </w:r>
    </w:p>
    <w:p w:rsidR="001338ED" w:rsidRPr="007A7C51" w:rsidRDefault="001338ED" w:rsidP="007A7C5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Розничный сегмент более интересен для генераторов: они получают возможность продать мощность в четыре раза дороже, чем на оптовом рынке, а также избавиться от невыгодных обязательств по регулируемым договорам (РД, договоры на продажу мощности и электроэнергии населению по сниженным ценам), говорит партнер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Vygon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Consulting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Жихарев. Причем прямой покупатель получит от такого генератора цену ниже на 5-10%, чем от ГП, продолжает он. Но для потребителей, покупающих электроэнергию и мощность с оптового рынка, исход генерации в розничный сегмент будет означать повышение конечных цен. По оценкам Алексея Жихарева, дополнительные 1,2 ГВт в рознице повышают совокупную нагрузку для таких потребителей более чем на 10 млрд руб. в год.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Таджикистан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воды в Нурекском водохранилище достиг максимальной отметки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энергосекторе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на 2 сентября уровень воды в водохранилище Нурекской ГЭС достиг максимальной отметки.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техническим параметрам для полного заполнения водохранилища Нурекской ГЭС уровень воды должен достичь отметки 910 метр. Еще накануне уровень воды в водохранилище Нурекской ГЭС достигал 909 м. 69 см.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источника, проточность воды на реке Вахш в районе Нурекского водохранилища накануне составила 869 кубометров в секунду, что на 346 кубометров меньше показателя аналогичного периода прошлого года.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источника, ежесуточно в стране, в среднем вырабатывается более 43,5 млн. кВт/ч электроэнергии.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ОАХК «Барки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точик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сообщил, что из-за маловодья прекращен экспорт электроэнергии в Афганистан и Узбекистан. Это связано с уменьшением притока воды на реке Вахш и перераспределением сетей в Афганистане.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ведомства, в Афганистан за шесть месяцев экспортировано 546,6 млн. кВт/ч электроэнергии. Этот показатель в Узбекистан составил 358,3 млн. кВт/ч.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Впервые за 10-12 лет из водохранилищ ГЭС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Вахшского</w:t>
      </w:r>
      <w:proofErr w:type="spellEnd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каскада не был произведен холостой сброс воды.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энергетическом секторе страны, в текущем году из-за маловодья не было холостого сброса воды из водохранилищ ГЭС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Вахшского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каскада, в том числе Нурекской ГЭС.  Уровень воды в водохранилище Нурекской ГЭС достиг максимальной отметки в начале сентября.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предыдущими годами приток воды   на реке Вахш был существенно меньше.  Из-за маловодья в текущем году раньше договорных сроков был прекращен экспорт электроэнергии в Афганистан и Узбекистан. Это связано с уменьшением притока воды на реке Вахш.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Проточность воды на реке Вахш в районе Нурекского водохранилища в начале сентября в среднем составила 869 кубометров в секунду, что на 346 кубометров меньше показателя аналогичного периода прошлого года. Ежесуточно в стране, в среднем вырабатывается более 43,5 млн. кВт/ч электроэнергии.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лет назад ежегодный холостой сброс воды из водохранилищ гидроэлектростанций Таджикистана был эквивалентен 7-8 млрд. кВт/ч электроэнергии. Чтобы ход как-то снизить объем холостого сброса воды республика начала поставлять соседним странам электроэнергию по относительно низкой цене.  Тогда таджикские энергетики говорили, что лучше продавать электроэнергию, чем пропускать воду в «холостую».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 приграничных сел Таджикистана будут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электрофицированы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лет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энергосекторе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более 500 км линии электропередачи будет протянуто в 135 селах Горно-Бадахшанской автономной области 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Хатлонской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рамках проекта «Электрификация сельской местности».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также будут установлены 139 трансформаторов для обеспечения электроэнергией 135 приграничных сел.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ассоциация развития (Группа Всемирного банка) выделит $31,7 млн. для реализации проекта электрификации сельской местности в Таджикистане.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предусматривает строительство малых сетей для подключения к централизованным сетям, возведение инфраструктуры для производства электроэнергии, в частности, малых ГЭС, установку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ветрогенераторов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солнечных панелей, строительство инфраструктуры для распределения электроэнергии, в том числе ЛЭП, трансформаторов, электросчетчиков и др.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также включает в себя оказание технической поддержки компании «Памир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проведения работ по строительству ГЭС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Себзор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 – пять лет, то есть в период с 2020 по 2025 годы.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электроэнергии в Таджикистане сократилось на 5,6%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 сократил производство и экспорт электроэнергии. Как сообщили «Авеста» в энергетическом секторе республики, за восемь месяцев 2020 года в стране произведено 13 млрд. 477,9 млн. кВт/ч электроэнергии, что меньше по сравнению с этим же периодом прошлого года на 803 млн. кВт/ч, или на 5,6%.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источника, в указанный период также сократился экспорт электроэнергии. По сравнению с январем-августом 2019 года сумма продажи электроэнергии в соседние страны сократилась более чем на $30 млн., или почти на 40% и составила свыше $46,4 млн. При этом не сообщается об объемах экспорта электроэнергии за восемь месяцев.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глава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энергохолдинга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«Барки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точик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Исмоилзода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подтвердил, что с 27 июля сократились объемы экспорта таджикской электроэнергии в соседний Афганистан. Причина – в уменьшении притока воды в реке Вахш, заявил тогда он.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сентября Таджикистан возобновил экспорт электроэнергии в Афганистан, прерванный в связи с маловодьем и уменьшением уровня воды в водохранилищах ГЭС страны, в том числе водохранилище Нурекской ГЭС.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в «Барки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точик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сообщили, что в связи с тем, что уровень воды в водохранилище Нурекской ГЭС достиг максимальной отметки, было принято решение о возобновлении поставок электроэнергии в Афганистан.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«Сейчас ежесуточно в Афганистан экспортируется порядка 1,3 млн. кВт/ч электроэнергии, в летний период, до прекращения экспорта, в соседнюю страну ежесуточно экспортировалось до 8 млн. кВт/ч. объем экспорта может быть увеличен, в зависимости от обстоятельств», – отметили в ведомстве.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«Барки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точик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первом полугодии этого года в Афганистан было экспортировано 546 млн. кВт/ч электроэнергии, а в Узбекистан – 358 млн. кВт/ч.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Таджикистан и Афганистан выступили за скорую реализацию проекта CASA-1000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Таджикистан и Афганистан, в рамках визита афганской делегации во главе с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иностранных дел Афганистана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Ханифом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Атмаром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рассмотрели вопросы двусторонних отношений и сотрудничества двух стран в различных сферах, а также обменялись мнениями о ситуации в регионе и мире, сообщает МИД РТ.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визита накануне, 17 сентября в Душанбе состоялась встреча министра иностранных дел Таджикистана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Сироджиддина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Мухриддина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 афганским коллегой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Ханифом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Атмаром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отметили, что совместная борьба с терроризмом, экстремизмом и контрабандой наркотиков является важным направлением сотрудничества между двумя странами. Было подчеркнуто, что с целью устранения последствий пандемии COVID-19 необходимо развивать сотрудничество и партнёрство между двумя странами.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совместном заявлении по итогам встречи делегации сторон отмечается, что Таджикистан поддерживает усилия правительства Афганистана по обеспечению мира и стабильности в стране. В этой связи таджикская сторона приветствует процесс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межафганских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переговоров, который начался 12 сентября 2020 года в Дохе.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Таджикская сторона надеется, что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межафганские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мирные переговоры заложат прочную основу для восстановления мира и стабильности в этой стране, пострадавшей от войны.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 хорошо осознает ключевую роль Афганистана в обеспечении безопасности во всем регионе Центральной Азии и всегда поддерживал конструктивные инициативы международного сообщества по обеспечению мира и стабильности в Афганистане и его экономическому и социальному восстановлению. Таджикистан уделял пристальное внимание этим вопросам во время своего нынешнего председательства в Стамбульском процессе — Сердце Азии.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весь мир становится свидетелем кровавых конфликтов в различных странах и регионах, роста активности террористических и экстремистских группировок, обострения геополитической и геостратегической конкуренции. Несомненно, эти явления могут представлять серьезную угрозу для нынешней ситуации и будущего стран нашего региона. В этой связи считается необходимым принять совместные меры по уничтожению баз террористов, организованных преступных группировок и наркоторговцев.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 расположен укреплять и расширять правовые рамки двустороннего сотрудничества с Афганистаном. В настоящее время стороны рассматривают ряд новых документов о сотрудничестве в различных сферах.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сотрудничества двух стран является энергетический сектор. Таджикистан готов принять необходимые меры для обеспечения и увеличения регулярных поставок электроэнергии в соседний Афганистан. В этом контексте сотрудничество двух стран имеет большое значение в совместной реализации в кратчайшие сроки регионального проекта CASA-1000.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 стремится строить новые транспортные коридоры между нашими странами и реализовывать взаимовыгодные региональные проекты. В этой связи полностью поддерживает создание транзитного коридора KTAI (Кыргызстан, Таджикистан, Афганистан и Иран) и создаёт все необходимые условия для его эффективного функционирования.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железнодорожной программы «Таджикистан — Афганистан — Туркменистан» согласован проект железной дороги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Джалолиддин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Нижний Пяндж» и моста через реку Пяндж 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Кундуз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ближайшее время начнется их строительство. Он будет частью железной дороги между Таджикистаном, Афганистаном и Ираном и будет связан с международным транспортным коридором «Север — Юг».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 и Афганистан успешно сотрудничают в рамках международных и региональных организаций, таких, как ООН, Шанхайская организация сотрудничества, Организация исламского сотрудничества и других.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 и Афганистан — страны с глубокими историческими, культурными, языковыми, духовными и художественными связями. Таджикистан готов и дальше оказывать Афганистану помощь в обучении национальных кадров. Десятки афганских студентов в настоящее время обучаются в таджикских университетах по различным дисциплинам на основе стипендий Правительства Таджикистана.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встречи в присутствии глав двух делегаций был подписан Меморандум о взаимопонимании между Комитетом по охране окружающей среды при правительстве Республики Таджикистан и Национальным агентством по охране окружающей среды при правительстве Исламской Республики Афганистан о сотрудничестве в области охраны окружающей среды.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Президент сдал в эксплуатацию два модернизированных агрегата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Сарбандской</w:t>
      </w:r>
      <w:proofErr w:type="spellEnd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ГЭС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Эмомали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Рахмон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посетил сегодня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Сарбандскую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Леваканте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ввел в эксплуатацию два блока этого важного гидроэнергетического объекта. Как сообщает пресс-служба главы государства, введены в эксплуатации энергоблоки №2, мощностью 39 МВт и №6 мощностью 49 МВт. Отмечается, что в настоящее время начата реконструкция энергоблока №3.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проектная мощность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Сарбандской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составляет 240 МВт, и это пятая по мощности электростанция республики.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2010-2012 годы был полностью реконструирован 4-й блок ГЭС, мощностью 45 МВт.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сообщалось, что до 2022 года должны быть реконструированы пять из шести агрегатов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Сарбандской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гидроэлектростанции. После реконструкции мощность ГЭС достигнет 270 МВт, вместо нынешних 240 МВт.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реконструкция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Сарбандской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началась в ноябре 2016 года. Позже в проект модернизации ГЭС были внесены изменения, согласно которым вместо трех будут модернизированы пять гидроагрегатов.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Заменой агрегатов ГЭС занимается совместное предприятие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Синохайдро-Хайдрочайна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реабилитации Головной ГЭС, мощностью 240 МВт финансируется за счет гранта Азиатского банка развития в размере $136 млн. Ранее планировалось, что будут модернизированы первая, вторая и пятая гидроагрегаты станции. Также в рамках модернизации планировался капитальный ремонт третьего и шестого гидроагрегатов.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энергосектора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демонтаже агрегата №5 состояние оборудования оказалось хуже ожидаемого. Поскольку агрегаты №3 и №6 имеют одинаковую конструкцию и возраст, можно разумно предположить, что их замена может быть предпочтительной, чем оценка их состояния и ремонт, как было определено первоначально.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очередь, «Барки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точик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запросил АБР о незначительном изменении в объеме работ проекта, чтобы использовать сэкономленные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грантовые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для модернизации агрегатов №3 и №6. Проект состоит из двух фаз, его реализация завершится в 2022 году.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Сарбандская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ГЭС была введена во временную эксплуатацию в рамках строительства каскада гидроэлектростанций на реке Вахш в 1962 году, а 1966 году состоялся её полный запуск. За годы функционирования ГЭС выработала более 50 млрд. кВт/ч электроэнергии.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Республика Казахстан</w:t>
      </w:r>
    </w:p>
    <w:p w:rsidR="001338ED" w:rsidRPr="007A7C51" w:rsidRDefault="001338ED" w:rsidP="007A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Кыргызстан планирует купить у Казахстана 500 млн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кВт•ч</w:t>
      </w:r>
      <w:proofErr w:type="spellEnd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электроэнергии в I квартале 2021 года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Кыргызстана есть предварительная договоренность с Казахстаном о закупке 500 млн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кВт•ч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в I квартале 2021 года, сообщил первый вице-премьер-министр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Алмазбек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Баатырбеков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эфире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Биринчи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радио».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сейчас идет цикл маловодья и 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Токтогульское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водохранилище поступило мало воды по сравнению с прошлым годом — накоплено 14,8 млрд кубометров воды или на 2 млрд кубометров меньше.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«Вместе с тем, в этом году со стороны правительства был товарообмен электроэнергии с Казахстаном в объеме около 300 млн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кВт•ч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15 сентября эти 300 млн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кВт.ч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из Казахстана начнем получать. Кроме того, из-за маловодья со стороны правительства 500 млн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кВт•ч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планируется закупить и до конца года если купим, то планируем, что 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Токтогульском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водохранилище будет сэкономлено 800 млн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кВт•ч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рассказал первый вице-премьер.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казахской стороной есть предварительная договоренность о закупке 500 млн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кВт•ч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квартал 2021 года, но на сегодня цена не уточнена.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говорит, что по их внутренним процедурам цена на этот год уточнена, а на следующий год в начале года будет уточнена, добавил он.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«Кроме того, планируется увеличить объем выработки электроэнергии на ТЭЦ Бишкека. Даст Бог, никаких веерных отключений не будет», – сказал он.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Перевод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Алматинской</w:t>
      </w:r>
      <w:proofErr w:type="spellEnd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ТЭЦ-2 на газ. Коротко о самом важном.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ведет работу по модернизации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ТЭЦ-2 с целью максимального снижения выбросов в окружающую среду. Учитывая важность темы, в компании постарались дать ответы на самые актуальные вопросы, связанные с этим проектом.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Алматинская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ТЭЦ-2: газификация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Алматинская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ТЭЦ-2 будет полностью переведена на газ. Таким образом, поставлена точка в активных дискуссиях о том, как модернизировать ТЭЦ-2 и свести к минимуму ее вредное воздействие от выбросов на окружающую среду.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вопрос инициировала общественность города, экологи – они были бескомпромиссны в своей убеждённости, требуя перевода станции на экологически чистое топливо – газ. Аргументы были услышаны, и на государственном уровне было принято принципиальное положительное решение по этому вопросу. 1 августа 2019 года была утверждена «дорожная карта» по модернизации ТЭЦ-2.  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выборе вариантов проектов.  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Дискуссии и обсуждения варианта модернизации также шли жарко и не только очно, но и в режиме онлайн. В частности, с использованием платформ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общей сложности в открытых дебатах приняло участие свыше 20 тысяч человек.  В соответствии с техническим заданием на разработку ТЭО были рассмотрены четыре варианта: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Модернизация котлов с переводом на газ;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Реконструкция существующих котлов с установкой газоочистного оборудования;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Расширение ТЭЦ-2;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Строительство новой станции на газе.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После обсуждений проблемы со специалистами – энергетиками, экологами, экономистами, представителями власти, единственный акционер владельца станции –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учтя мнение общественности и профессионалов отрасли, выбрал приемлемый,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технически реализуемый вариант №1. Его разработчик ТЭО -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КазНИПИЭнергопром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КазНИПИЭнергопром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ТЭО «Модернизация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Алматинской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ТЭЦ-2 с минимизацией воздействия на окружающую среду» проводился способом открытого тендера с участием нескольких потенциальных групп-разработчиков: АО "Казахстанский научно-исследовательский и проектно-изыскательский институт топливно-энергетических систем "Энергия</w:t>
      </w:r>
      <w:proofErr w:type="gram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",  ИП</w:t>
      </w:r>
      <w:proofErr w:type="gram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Қуаныш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Ерлан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Мұратұлы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АО "Институт "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КазНИПИЭнергопром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Единственный потенциальный поставщик с соответствующей заявкой – АО "Институт "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КазНИПИЭнергопром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который имеет 60-летнюю историю энергетического строительства и осуществляет весь спектр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предпроектных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проектных работ в области теплоэнергетики. 15 ноября 2019 года был заключен договор с этой организацией на разработку ТЭО со сроком действия до 31 декабря 2020 года.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ТЭЦ-2 вообще снести?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ТЭЦ-2 обеспечивает порядка 50% тепла зоны централизованного теплоснабжения и электроэнергии Алматы. Компенсировать такой объем выбывшей тепло- и электрической энергии не смогут оставшиеся объекты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АлЭС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Кроме того, станция связана протяженными тепловыми сетями с другими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энергоисточниками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– ТЭЦ-1 и Западный тепловой комплекс. Совместно они оптимизируют производство тепловой энергии, балансируют друг друга и минимизируют топливные затраты. В случае сноса ТЭЦ-2 для замещения ее установленной тепловой мощности потребуется 14 котельных с мощностью 100 Гкал в час со строительством необходимой инфраструктуры. Безусловно, все эти мероприятия по восполнению потери тепловой энергии ТЭЦ-2 не улучшат экологию города. И если импорт электроэнергии при определенных, также многомиллиардных затратах можно наладить, то импорт тепловой энергии из других регионов невозможен. Тем более в столь значительных объемах – 3 200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Гкал в год. 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если построить новую станцию?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Строительство новой газовой электростанции на другой площадке – дорогой проект сам по себе. Цена вопроса – порядка 275 миллиардов тенге. Плюс необходимо строительство дополнительной инфраструктуры для станции: водоснабжение, газоснабжение, протяженные тепловые сети и др.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предложениях и замечаниях.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этапах обсуждения ТЭО есть возможность высказаться всем желающим. Документ в полном объеме будет вынесен на общественные слушания при проведении государственной экологической экспертизы, согласно «Экологическому кодексу РК». Принять участие в общественных слушаниях смогут все заинтересованные организации и представители общественности.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…Минус 80% выбросов, плюс газ от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КазТрансГаз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Что дает этот выбор проекта №1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алматинцам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? Главное – чистый воздух. Перевод входящей в комплекс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АлЭС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станции ТЭЦ-2 на сжигание природного газа полностью избавляет атмосферу города от выбросов угольной золы, диоксида серы и золы. Сокращаются выбросы окислов азота и углерода, снижаются выбросы парниковых газов. В целом, подсчитано, что при переводе ТЭЦ-2 на газ годовое количество выбросов загрязняющих веществ в атмосферу снижается более, чем на 80%.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этом, у проекта наименьшая стоимость строительства– 98,4 млрд тенге. Это без учета строительства двух внешних газопроводов. Есть предварительное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техусловие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снабжению газом от национального оператора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КазТрансГаз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Кроме этого, реализация этого проекта снимает еще и проблему с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золоотвалами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Сегодня общая площадь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золотоотвалов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сухого складирования на ТЭЦ-2 составляет 200 га. Перевод на газ станции позволит использовать эти земли для других нужд города.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то, что есть.  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Реально ли «тюнинговать» проект 70-х годов прошлого века до уровня 21 века? Специалисты, занимавшиеся эти вопросом, приводят свои аргументированные доводы. Если говорить просто, то:  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реконструкция ТЭЦ-2 базируется на сохранении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энергоисточника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существующей площадки со сложившейся инфраструктурой;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пылеугольные котлы будут заменены на новые газовые котлы с сохранением и усилением существующего каркаса; то есть фундамент надежный и крепкий, с высокой степенью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-безопасности – существующий, а оборудование, технология – новая, с высоким КПД;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новые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котлоагрегаты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выше отметки станционной отметки 0,000 м, что соответствует нормативным требованиям РК; они устанавливаются на существующие каркасы котлов;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новые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котлоагрегаты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улучшенные экологические и технико-экономические показатели; их КПД равен 94,5 % (на существующих котлах около 89 %);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обеспечения выбросов оксидов азота при сжигании природного газа предлагается установка 8-и малотоксичных вихревых газовых горелок и 4-х сопел воздушного дутья.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чей счет проект?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2019 году утверждена «дорожная карта» реализации проекта, согласно пунктам которой будет осуществляться финансирование проекта.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АлЭС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таких ресурсов не имеет. Город проект также не потянет. Сейчас прорабатываются различные варианты финансирования: кредитование, средства из госбюджета, поддержка акционера, участие казахстанских институтов развития, ГЧП, предельные тарифы. Возможны комбинированные решения. Но однозначно ясно: зеленая энергетика требует немалых инвестиций.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Чистый воздух стоит денег.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газ для Алматы значительно более дорогой вид топлива, чем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экибастузский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уголь. Если сравнивать в пересчете на условное топливо, его цена в настоящее время в 2,3 </w:t>
      </w:r>
      <w:proofErr w:type="gram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 выше</w:t>
      </w:r>
      <w:proofErr w:type="gram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угля. Конечный тариф на тепловую энергию для потребителей Алматы состоит из тарифов на ее производство, передачу, распределение нескольких компаний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энергокомплекса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города.  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 в ТЭО определялся не сам тариф, а оценивалось влияние изменения затрат ТЭЦ-2 на тарифы. В документе показано влияние на тарифы перевода станции на производство тепловой энергии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АлЭС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на услуги по теплоснабжению для потребителей Алматы.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реализации проекта перевода ТЭЦ-2 на газ определился такой алгоритм: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топливная составляющая в себестоимости увеличивается в 2,2 раза,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себестоимость производства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увеличится в 1,6 раза,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расчетный тариф на производство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АлЭС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увеличится на 30-40%.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расчетный тариф на тепловую энергию для потребителей увеличится на 20-25%.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другие теплоисточники, кроме ТЭЦ-2 учтены на уровне показателей 2020 года.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этапы согласований и утверждений проекта предстоят?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октябре-ноябре 2020 года будут проведены общественные слушания ОВОС (Оценка воздействия на окружающую среду).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Затем ТЭО будет передано на согласование в государственную экспертизу.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заключения государственной экспертизы ТЭО будет утверждено заказчиком –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 реалистичные сроки завершения проекта?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мнение общественности 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Алматы в настоящее время предпринимаются действия по оптимизации сроков окончательного перевода станции на газ. Как ранее сообщалось, согласно утвержденному плану, завершение полной модернизации ТЭЦ-2 планировалось в 2029 году. Но стоит отметить, что станция имеет 8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перевод их на газ будет осуществляться поэтапно. Это означает, что с 2025 года часть ТЭЦ уже будет переведена на газ.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Энергетика Алматы «зеленеет»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АлЭС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системной основе и последовательно занимается повышением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объектов. Несколько фактов: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2013 году все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котлоагрегаты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тепловых станций компании были оснащены эмульгаторами нового поколения, со степенью золоулавливания 99,2%, на ТЭЦ-1, и 99,5% на ТЭЦ-2 и ТЭЦ-3;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это позволило снизить суммарные выбросы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АлЭС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пыли неорганической с 19 тысяч тонн в 2007 году до 8 тысяч тонн в 2019 году;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были проведены работы по снижению выхода окислов азота и выполнение природоохранных мероприятия в части ремонта основного и вспомогательного оборудования всех трех ТЭЦ компании;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ТЭЦ-1 с 2017 года переведена на 100% сжигание газа;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суммарные выбросы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АлЭС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были снижены с 68 тысяч тонн в 2007 году до 49 тысяч тонн в 2019 году, что составляет 27%;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начата разработка пред-ТЭО перевода на газ ТЭЦ-3.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АлЭС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совместно с АО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Самрук-Энерго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другими крупными предприятиями промышленности страны и ассоциациями КЭА 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Kazenergy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рабочей группе по созданию нового Экологического Кодекса РК, а также справочника по наилучшим доступным технологиям.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шаг сделан. Кто следующий?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станции ТЭЦ-2 на газ стал первым и значительным шагом энергетической компании Алматы по улучшению экологической обстановки в городе и регионе. Но выбросы ТЭЦ-2, согласно последним данным экологов составляют 30% от общего объема выбросов (по статистическим приведенным в работе «Установление целевых показателей качества окружающей среды для города Алматы»). Значительную лепту в загрязнение атмосферы вносят коптящий частный сектор, использующий уголь, резину и прочее неэкономичное топливо для отопления жилья и бань. А также автотранспорт и другие источники, доля которого оценивается в 70%.   </w:t>
      </w:r>
    </w:p>
    <w:p w:rsidR="001338ED" w:rsidRPr="007A7C51" w:rsidRDefault="001338ED" w:rsidP="007A7C51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них последует за энергетиками в направлении повышения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экологичности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Главные </w:t>
      </w:r>
      <w:proofErr w:type="spellStart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инвестпроекты</w:t>
      </w:r>
      <w:proofErr w:type="spellEnd"/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павлодарских ТЭЦ-3 и ТЭЦ-2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сумма, запланированная на реализацию инвестиционных программ двух теплоэлектроцентралей АО «ПАВЛОДАРЭНЕРГО» в 2020 году, составляет 1 млрд 428 млн тенге. В том числе вложения в проекты в рамках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инвестпрограммы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ДКРЕМ, составляют 91 млн 652 тысячи тенге. О том, какие именно инвестиционные проекты претворяются в жизнь на павлодарских ТЭЦ-3 и ТЭЦ-2, энергетики рассказали в ходе пресс-тура с участием представителей ДКРЕМ по Павлодарской области, неправительственных организаций и региональных СМИ.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имеем право знать, какие результаты достигнуты на те средства, которые заплатили в рамках тарифа потребители, - сказал Тимур Амирханов, руководитель департамента Комитета по регулированию естественных монополий, защите конкуренции и прав потребителей МНЭ РК по Павлодарской области. – По результатам пресс-тура можно сказать, что инвестиционная программа на предыдущий год выполнена в полном объеме, показатели, которые были согласованы с уполномоченным органом, достигнуты».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наиболее значимых проектов последнего времени стала установка станционного координатора на павлодарской ТЭЦ-3. «ПАВЛОДАРЭНЕРГО» вложило в его реализацию порядка 211 млн тенге.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«Станционный координатор внедрен для поддержания в автоматизированном режиме электрической и тепловой нагрузки всей станции. Он связывает между собой локальные системы управления пяти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пяти турбоагрегатов ТЭЦ-3 в единую цепь. Цель координатора - найти баланс между нагрузкой турбогенераторов и потребителями тепловой энергии. Например, при увеличении расхода пара нужно увеличить нагрузку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Или, наоборот, при изменении потребления в меньшую сторону, котел необходимо разгрузить. Станционный координатор в автоматическом режиме обеспечивает баланс давления пара в главном паропроводе и нагрузки турбогенераторов. Тем самым снижается риск возникновения аварийной ситуации и внеплановой остановки оборудования», - рассказал Вадим Лесин, заместитель генерального директора АО «ПАВЛОДАРЭНЕРГО».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условиях рынка электрической мощности станционный координатор позволяет выполнять команды системного оператора «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Kegoc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максимально оперативно и точно, обеспечивая равномерную скорость снижения и набора нагрузки, а также поддержание установленной мощности.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инвестиционной программы на павлодарской ТЭЦ-3 внедрен новый проект автоматизации, система прогностики и удаленного мониторинга «ПРАНА». Стоимость системы 195 млн 387 тысяч тенге Она позволяет упреждать развитие неполадок и аварий на турбоагрегате, обеспечивает безотказность работы энергетических установок и сокращает внеплановые простои. Система сравнивает текущие данные о состоянии оборудования с математическими моделями и в автоматическом режиме выявляет зарождающиеся неисправности. За одну секунду «ПРАНА» обрабатывает 2500 параметров работающего энергоблока. А акустические датчики способны фиксировать перемещение, вибрацию или деформацию фундаментной плиты турбогенератора, изменять и регистрировать параметры целостности и эксплуатации оборудования. «ПРАНА» проводит диагностику систем за секунды, тогда как специалисту необходимо для такой работы от нескольких часов до нескольких дней.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крупных инвестиционных проектов ТЭЦ-3 входит наращивание первой очереди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золоотвала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Дополнительная емкость объемом 2 820 тысяч м3 необходима для складирования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золошлаковых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поскольку действующая емкость второй очереди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золоотвала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уже исчерпала. Кроме того, необходим запас времени для строительства третьей очереди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золоотвала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ТЭЦ-3. Наращивание первой очереди позволит обеспечить складирование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золошлаков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ТЭЦ-3 в течение чуть более двух лет.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 запланированные на реализацию проекта, составляют 188 млн тенге.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«ПАВЛОДАРЭНЕРГО» заключило договор с ТОО «СЕВКАЗЭНЕРГОПРОМ» на разработку проекта строительства железобетонной дымовой трубы №2 на ТЭЦ-3. Данное строительство позволит снять ограничения по тяге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котлоагрегатов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и даст возможность подключить к трубе котлы №7 и №8, строительство которых планируется в перспективе.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Казахстане разрешили повысить предельные тарифы на электроэнергию.</w:t>
      </w: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Комитете по регулированию естественных монополий сообщили о том, насколько из-за этого вырастут цены. В госоргане отметили, что приказом министра энергетики предельные тарифы на данный вид коммунальных услуг выросли в среднем на 17%. За счет этого цены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энергоснабжающих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13% регионам страны выросли в среднем на 8,2%. Среднее значение отпускной стоимости составляет 17,14 тенге за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кВтч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НДС, что на 1,25 тенге выше.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 конца года ожидается повышение цен на электроснабжение для населения в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Кызылординской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Мангистауской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 и в Алматы в среднем на 6%», – спрогнозировали в КРЕМ.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тарифов на регулируемые услуги по водоснабжению и водоотведению до конца 2020 года будет происходить в рамках утвержденных долгосрочных предельных уровней тарифов. То же касается тепловой энергии.</w:t>
      </w:r>
    </w:p>
    <w:p w:rsidR="001338ED" w:rsidRPr="007A7C51" w:rsidRDefault="001338ED" w:rsidP="007A7C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 КРЕМ пояснили, предельные цены на данные виды </w:t>
      </w:r>
      <w:proofErr w:type="spellStart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коммуслуг</w:t>
      </w:r>
      <w:proofErr w:type="spellEnd"/>
      <w:r w:rsidRPr="007A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2015 года закладываются на пять и более лет. Вместе с тем субъект естественной монополии может подать заявку на изменение тарифа, назвав причиной рост предельной стоимости на электроэнергию.</w:t>
      </w:r>
    </w:p>
    <w:p w:rsidR="001338ED" w:rsidRPr="007A7C51" w:rsidRDefault="001338ED" w:rsidP="007A7C5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313" w:rsidRPr="007A7C51" w:rsidRDefault="00E04313" w:rsidP="007A7C5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0"/>
          <w:szCs w:val="20"/>
        </w:rPr>
      </w:pPr>
    </w:p>
    <w:sectPr w:rsidR="00E04313" w:rsidRPr="007A7C51" w:rsidSect="00EC42B5">
      <w:headerReference w:type="default" r:id="rId12"/>
      <w:footerReference w:type="default" r:id="rId13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23" w:rsidRDefault="006A2723" w:rsidP="00AD7754">
      <w:pPr>
        <w:spacing w:after="0" w:line="240" w:lineRule="auto"/>
      </w:pPr>
      <w:r>
        <w:separator/>
      </w:r>
    </w:p>
  </w:endnote>
  <w:endnote w:type="continuationSeparator" w:id="0">
    <w:p w:rsidR="006A2723" w:rsidRDefault="006A2723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6A2723" w:rsidRDefault="006A272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C5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A2723" w:rsidRDefault="006A27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23" w:rsidRDefault="006A2723" w:rsidP="00AD7754">
      <w:pPr>
        <w:spacing w:after="0" w:line="240" w:lineRule="auto"/>
      </w:pPr>
      <w:r>
        <w:separator/>
      </w:r>
    </w:p>
  </w:footnote>
  <w:footnote w:type="continuationSeparator" w:id="0">
    <w:p w:rsidR="006A2723" w:rsidRDefault="006A2723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6A2723" w:rsidTr="009437D6">
      <w:tc>
        <w:tcPr>
          <w:tcW w:w="2235" w:type="dxa"/>
        </w:tcPr>
        <w:p w:rsidR="006A2723" w:rsidRDefault="006A2723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3" name="Рисунок 3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6A2723" w:rsidRDefault="006A272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6A2723" w:rsidRDefault="006A2723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6A2723" w:rsidRPr="009437D6" w:rsidRDefault="006A2723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0C18"/>
    <w:multiLevelType w:val="hybridMultilevel"/>
    <w:tmpl w:val="4E9E8E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DC7EB6"/>
    <w:multiLevelType w:val="hybridMultilevel"/>
    <w:tmpl w:val="C0B68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1542"/>
    <w:rsid w:val="000131F1"/>
    <w:rsid w:val="000134A2"/>
    <w:rsid w:val="00014143"/>
    <w:rsid w:val="00021D88"/>
    <w:rsid w:val="00023FFD"/>
    <w:rsid w:val="00025494"/>
    <w:rsid w:val="000312EB"/>
    <w:rsid w:val="000340CD"/>
    <w:rsid w:val="00034147"/>
    <w:rsid w:val="0003643D"/>
    <w:rsid w:val="00042141"/>
    <w:rsid w:val="0004437A"/>
    <w:rsid w:val="00051FFA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775AF"/>
    <w:rsid w:val="0008404C"/>
    <w:rsid w:val="00090E98"/>
    <w:rsid w:val="000A1C55"/>
    <w:rsid w:val="000A1F7A"/>
    <w:rsid w:val="000A2B7B"/>
    <w:rsid w:val="000A3B02"/>
    <w:rsid w:val="000A5314"/>
    <w:rsid w:val="000B0233"/>
    <w:rsid w:val="000B7AEB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750"/>
    <w:rsid w:val="000F6A36"/>
    <w:rsid w:val="000F6D27"/>
    <w:rsid w:val="000F7637"/>
    <w:rsid w:val="00101A0F"/>
    <w:rsid w:val="00112428"/>
    <w:rsid w:val="0011642D"/>
    <w:rsid w:val="00117137"/>
    <w:rsid w:val="00120BDE"/>
    <w:rsid w:val="001210A8"/>
    <w:rsid w:val="0012176C"/>
    <w:rsid w:val="0012324F"/>
    <w:rsid w:val="001247D6"/>
    <w:rsid w:val="001248FB"/>
    <w:rsid w:val="00125238"/>
    <w:rsid w:val="00127A62"/>
    <w:rsid w:val="001338ED"/>
    <w:rsid w:val="001447DB"/>
    <w:rsid w:val="00144EB2"/>
    <w:rsid w:val="00146C10"/>
    <w:rsid w:val="00147887"/>
    <w:rsid w:val="00150085"/>
    <w:rsid w:val="00156A4A"/>
    <w:rsid w:val="001620AB"/>
    <w:rsid w:val="001621B0"/>
    <w:rsid w:val="0016541F"/>
    <w:rsid w:val="001667B9"/>
    <w:rsid w:val="00167CFE"/>
    <w:rsid w:val="0017220E"/>
    <w:rsid w:val="00176FB5"/>
    <w:rsid w:val="001803A7"/>
    <w:rsid w:val="001807DB"/>
    <w:rsid w:val="00183A10"/>
    <w:rsid w:val="001841F0"/>
    <w:rsid w:val="00184E53"/>
    <w:rsid w:val="00186C38"/>
    <w:rsid w:val="00190C91"/>
    <w:rsid w:val="00191D55"/>
    <w:rsid w:val="001963D6"/>
    <w:rsid w:val="001976AD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008C"/>
    <w:rsid w:val="001E3127"/>
    <w:rsid w:val="001E69C3"/>
    <w:rsid w:val="001F20CE"/>
    <w:rsid w:val="001F2459"/>
    <w:rsid w:val="001F404F"/>
    <w:rsid w:val="001F6F4F"/>
    <w:rsid w:val="00210D30"/>
    <w:rsid w:val="00213A8D"/>
    <w:rsid w:val="00217D54"/>
    <w:rsid w:val="00223C5D"/>
    <w:rsid w:val="00224B90"/>
    <w:rsid w:val="00224C6E"/>
    <w:rsid w:val="00225BA9"/>
    <w:rsid w:val="00225ECE"/>
    <w:rsid w:val="002300AE"/>
    <w:rsid w:val="00230F0E"/>
    <w:rsid w:val="002326BC"/>
    <w:rsid w:val="002334B5"/>
    <w:rsid w:val="00234CB9"/>
    <w:rsid w:val="00234CEB"/>
    <w:rsid w:val="0023543C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49F3"/>
    <w:rsid w:val="00266D27"/>
    <w:rsid w:val="002676A7"/>
    <w:rsid w:val="00272BB4"/>
    <w:rsid w:val="00273897"/>
    <w:rsid w:val="00273C4D"/>
    <w:rsid w:val="00282C14"/>
    <w:rsid w:val="00284A27"/>
    <w:rsid w:val="00285ACB"/>
    <w:rsid w:val="00295877"/>
    <w:rsid w:val="002A37CB"/>
    <w:rsid w:val="002A3F39"/>
    <w:rsid w:val="002B2269"/>
    <w:rsid w:val="002C14BF"/>
    <w:rsid w:val="002C4506"/>
    <w:rsid w:val="002C5519"/>
    <w:rsid w:val="002D2E71"/>
    <w:rsid w:val="002D4807"/>
    <w:rsid w:val="002D6BEB"/>
    <w:rsid w:val="002E17D6"/>
    <w:rsid w:val="002E3ABD"/>
    <w:rsid w:val="002E6CD9"/>
    <w:rsid w:val="002F0073"/>
    <w:rsid w:val="002F18C0"/>
    <w:rsid w:val="002F20CC"/>
    <w:rsid w:val="003021BF"/>
    <w:rsid w:val="00302337"/>
    <w:rsid w:val="00302DA3"/>
    <w:rsid w:val="00306A9D"/>
    <w:rsid w:val="00306B17"/>
    <w:rsid w:val="00306C42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17C6"/>
    <w:rsid w:val="00343B5A"/>
    <w:rsid w:val="00344536"/>
    <w:rsid w:val="00346CFD"/>
    <w:rsid w:val="003507C0"/>
    <w:rsid w:val="00350BC9"/>
    <w:rsid w:val="003521D1"/>
    <w:rsid w:val="003527BF"/>
    <w:rsid w:val="0035461D"/>
    <w:rsid w:val="003625A7"/>
    <w:rsid w:val="0036365D"/>
    <w:rsid w:val="0036607D"/>
    <w:rsid w:val="003663EF"/>
    <w:rsid w:val="0037340B"/>
    <w:rsid w:val="00376A05"/>
    <w:rsid w:val="00377FA9"/>
    <w:rsid w:val="00377FE7"/>
    <w:rsid w:val="003801ED"/>
    <w:rsid w:val="00387115"/>
    <w:rsid w:val="0039177D"/>
    <w:rsid w:val="00395E64"/>
    <w:rsid w:val="003A0A61"/>
    <w:rsid w:val="003A40B7"/>
    <w:rsid w:val="003A5751"/>
    <w:rsid w:val="003A616A"/>
    <w:rsid w:val="003B36BC"/>
    <w:rsid w:val="003B57C9"/>
    <w:rsid w:val="003C2325"/>
    <w:rsid w:val="003C5EFF"/>
    <w:rsid w:val="003C6ABA"/>
    <w:rsid w:val="003D60D6"/>
    <w:rsid w:val="003D6235"/>
    <w:rsid w:val="003E3F8D"/>
    <w:rsid w:val="003E4811"/>
    <w:rsid w:val="003E6BEE"/>
    <w:rsid w:val="003E6E0E"/>
    <w:rsid w:val="003E6EE2"/>
    <w:rsid w:val="003F0FFA"/>
    <w:rsid w:val="003F5B49"/>
    <w:rsid w:val="003F62C2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3FCA"/>
    <w:rsid w:val="004449CF"/>
    <w:rsid w:val="00444D23"/>
    <w:rsid w:val="00445130"/>
    <w:rsid w:val="00452FF3"/>
    <w:rsid w:val="004550F2"/>
    <w:rsid w:val="00457F45"/>
    <w:rsid w:val="00461EC4"/>
    <w:rsid w:val="00462247"/>
    <w:rsid w:val="00465C07"/>
    <w:rsid w:val="0047172D"/>
    <w:rsid w:val="00476D7B"/>
    <w:rsid w:val="00485E7B"/>
    <w:rsid w:val="00493051"/>
    <w:rsid w:val="00495B86"/>
    <w:rsid w:val="00495FA2"/>
    <w:rsid w:val="004A3193"/>
    <w:rsid w:val="004A417C"/>
    <w:rsid w:val="004A4775"/>
    <w:rsid w:val="004A47DD"/>
    <w:rsid w:val="004B2582"/>
    <w:rsid w:val="004B30B9"/>
    <w:rsid w:val="004B468C"/>
    <w:rsid w:val="004B60D8"/>
    <w:rsid w:val="004C65DE"/>
    <w:rsid w:val="004C686A"/>
    <w:rsid w:val="004C720B"/>
    <w:rsid w:val="004D543B"/>
    <w:rsid w:val="004D745C"/>
    <w:rsid w:val="004E7604"/>
    <w:rsid w:val="004F55A3"/>
    <w:rsid w:val="00503D99"/>
    <w:rsid w:val="00503EEF"/>
    <w:rsid w:val="005070DF"/>
    <w:rsid w:val="00512A3A"/>
    <w:rsid w:val="00512F59"/>
    <w:rsid w:val="00513436"/>
    <w:rsid w:val="00520A3C"/>
    <w:rsid w:val="00523770"/>
    <w:rsid w:val="005246FD"/>
    <w:rsid w:val="00524E43"/>
    <w:rsid w:val="0052602D"/>
    <w:rsid w:val="00526154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85D45"/>
    <w:rsid w:val="00586AF8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30D5"/>
    <w:rsid w:val="005E65ED"/>
    <w:rsid w:val="005E794F"/>
    <w:rsid w:val="005F04DD"/>
    <w:rsid w:val="005F127E"/>
    <w:rsid w:val="005F2719"/>
    <w:rsid w:val="005F6A67"/>
    <w:rsid w:val="00600B80"/>
    <w:rsid w:val="00615B56"/>
    <w:rsid w:val="00620733"/>
    <w:rsid w:val="00623E43"/>
    <w:rsid w:val="00633669"/>
    <w:rsid w:val="006338AC"/>
    <w:rsid w:val="00634EF4"/>
    <w:rsid w:val="006423D3"/>
    <w:rsid w:val="00642DF4"/>
    <w:rsid w:val="006432D5"/>
    <w:rsid w:val="00647A43"/>
    <w:rsid w:val="00647D9C"/>
    <w:rsid w:val="00650C3E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73496"/>
    <w:rsid w:val="006808D0"/>
    <w:rsid w:val="00681D7C"/>
    <w:rsid w:val="00682876"/>
    <w:rsid w:val="0068431E"/>
    <w:rsid w:val="00684AE4"/>
    <w:rsid w:val="00684BAE"/>
    <w:rsid w:val="0068656F"/>
    <w:rsid w:val="00687FC9"/>
    <w:rsid w:val="00691F19"/>
    <w:rsid w:val="006A0785"/>
    <w:rsid w:val="006A2723"/>
    <w:rsid w:val="006A3A88"/>
    <w:rsid w:val="006A4A69"/>
    <w:rsid w:val="006A740E"/>
    <w:rsid w:val="006B060A"/>
    <w:rsid w:val="006B0CEA"/>
    <w:rsid w:val="006B0E95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E5"/>
    <w:rsid w:val="006C6971"/>
    <w:rsid w:val="006C754D"/>
    <w:rsid w:val="006C7B7B"/>
    <w:rsid w:val="006D2753"/>
    <w:rsid w:val="006D732A"/>
    <w:rsid w:val="006E259C"/>
    <w:rsid w:val="006E404D"/>
    <w:rsid w:val="006E7478"/>
    <w:rsid w:val="006F09F2"/>
    <w:rsid w:val="006F33F9"/>
    <w:rsid w:val="00700CC0"/>
    <w:rsid w:val="007103C4"/>
    <w:rsid w:val="00710722"/>
    <w:rsid w:val="00711626"/>
    <w:rsid w:val="00715ADF"/>
    <w:rsid w:val="00715C29"/>
    <w:rsid w:val="00720B2F"/>
    <w:rsid w:val="00725408"/>
    <w:rsid w:val="00725744"/>
    <w:rsid w:val="00727DC1"/>
    <w:rsid w:val="007362E1"/>
    <w:rsid w:val="0074078A"/>
    <w:rsid w:val="007410EE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76138"/>
    <w:rsid w:val="00781B2F"/>
    <w:rsid w:val="00782C7F"/>
    <w:rsid w:val="00783C18"/>
    <w:rsid w:val="007856FF"/>
    <w:rsid w:val="00786D0D"/>
    <w:rsid w:val="00791EEE"/>
    <w:rsid w:val="00794098"/>
    <w:rsid w:val="007943E5"/>
    <w:rsid w:val="00794953"/>
    <w:rsid w:val="007A0FD1"/>
    <w:rsid w:val="007A552A"/>
    <w:rsid w:val="007A7BD1"/>
    <w:rsid w:val="007A7C51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04CE"/>
    <w:rsid w:val="007E21EB"/>
    <w:rsid w:val="007E2BB4"/>
    <w:rsid w:val="007E56D0"/>
    <w:rsid w:val="007F3F0C"/>
    <w:rsid w:val="007F7EF3"/>
    <w:rsid w:val="008006A8"/>
    <w:rsid w:val="00800D87"/>
    <w:rsid w:val="0080409E"/>
    <w:rsid w:val="008078AD"/>
    <w:rsid w:val="00810136"/>
    <w:rsid w:val="00811FED"/>
    <w:rsid w:val="008166DD"/>
    <w:rsid w:val="008169EA"/>
    <w:rsid w:val="0082580F"/>
    <w:rsid w:val="00826295"/>
    <w:rsid w:val="00827462"/>
    <w:rsid w:val="008306E6"/>
    <w:rsid w:val="008311B2"/>
    <w:rsid w:val="0083128A"/>
    <w:rsid w:val="008315F2"/>
    <w:rsid w:val="00831866"/>
    <w:rsid w:val="00832F64"/>
    <w:rsid w:val="00836632"/>
    <w:rsid w:val="008373DC"/>
    <w:rsid w:val="00837772"/>
    <w:rsid w:val="00843727"/>
    <w:rsid w:val="008456D7"/>
    <w:rsid w:val="00851E30"/>
    <w:rsid w:val="00853D0D"/>
    <w:rsid w:val="00854D8B"/>
    <w:rsid w:val="00855837"/>
    <w:rsid w:val="00857454"/>
    <w:rsid w:val="0085783F"/>
    <w:rsid w:val="008647BB"/>
    <w:rsid w:val="00874172"/>
    <w:rsid w:val="008754CA"/>
    <w:rsid w:val="00875F55"/>
    <w:rsid w:val="00880821"/>
    <w:rsid w:val="0088122E"/>
    <w:rsid w:val="008822CA"/>
    <w:rsid w:val="00882305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C6F88"/>
    <w:rsid w:val="008D1FF5"/>
    <w:rsid w:val="008D1FF8"/>
    <w:rsid w:val="008E6C08"/>
    <w:rsid w:val="008F0834"/>
    <w:rsid w:val="008F33E4"/>
    <w:rsid w:val="008F5437"/>
    <w:rsid w:val="008F6ECD"/>
    <w:rsid w:val="00900409"/>
    <w:rsid w:val="009025E2"/>
    <w:rsid w:val="009125D1"/>
    <w:rsid w:val="00914769"/>
    <w:rsid w:val="00916401"/>
    <w:rsid w:val="009165DF"/>
    <w:rsid w:val="009165E4"/>
    <w:rsid w:val="00932394"/>
    <w:rsid w:val="0093560C"/>
    <w:rsid w:val="00935771"/>
    <w:rsid w:val="00936844"/>
    <w:rsid w:val="00937577"/>
    <w:rsid w:val="0093791F"/>
    <w:rsid w:val="00942AB9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67209"/>
    <w:rsid w:val="00970497"/>
    <w:rsid w:val="00970917"/>
    <w:rsid w:val="00973314"/>
    <w:rsid w:val="00973D74"/>
    <w:rsid w:val="0097499E"/>
    <w:rsid w:val="00980BF5"/>
    <w:rsid w:val="00981D05"/>
    <w:rsid w:val="0098270F"/>
    <w:rsid w:val="00983160"/>
    <w:rsid w:val="00984FBA"/>
    <w:rsid w:val="00985408"/>
    <w:rsid w:val="00985E1F"/>
    <w:rsid w:val="0099334E"/>
    <w:rsid w:val="0099370B"/>
    <w:rsid w:val="0099385A"/>
    <w:rsid w:val="00995E50"/>
    <w:rsid w:val="00997037"/>
    <w:rsid w:val="00997E32"/>
    <w:rsid w:val="009A1698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A001EE"/>
    <w:rsid w:val="00A0438E"/>
    <w:rsid w:val="00A067AB"/>
    <w:rsid w:val="00A11161"/>
    <w:rsid w:val="00A11183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35970"/>
    <w:rsid w:val="00A415B2"/>
    <w:rsid w:val="00A42AA0"/>
    <w:rsid w:val="00A43411"/>
    <w:rsid w:val="00A4551D"/>
    <w:rsid w:val="00A5325B"/>
    <w:rsid w:val="00A53678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97B5A"/>
    <w:rsid w:val="00AA3132"/>
    <w:rsid w:val="00AA36F9"/>
    <w:rsid w:val="00AA46C2"/>
    <w:rsid w:val="00AB1804"/>
    <w:rsid w:val="00AB4278"/>
    <w:rsid w:val="00AB44A6"/>
    <w:rsid w:val="00AB5E40"/>
    <w:rsid w:val="00AC3594"/>
    <w:rsid w:val="00AC6E74"/>
    <w:rsid w:val="00AD04EF"/>
    <w:rsid w:val="00AD1830"/>
    <w:rsid w:val="00AD24B7"/>
    <w:rsid w:val="00AD38CB"/>
    <w:rsid w:val="00AD7754"/>
    <w:rsid w:val="00AE458B"/>
    <w:rsid w:val="00AE6952"/>
    <w:rsid w:val="00AF0DCC"/>
    <w:rsid w:val="00AF4346"/>
    <w:rsid w:val="00B005A3"/>
    <w:rsid w:val="00B00FD2"/>
    <w:rsid w:val="00B01F44"/>
    <w:rsid w:val="00B022D7"/>
    <w:rsid w:val="00B025A4"/>
    <w:rsid w:val="00B0282E"/>
    <w:rsid w:val="00B1007E"/>
    <w:rsid w:val="00B116AC"/>
    <w:rsid w:val="00B1307B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01C1"/>
    <w:rsid w:val="00B635EC"/>
    <w:rsid w:val="00B63905"/>
    <w:rsid w:val="00B65932"/>
    <w:rsid w:val="00B66687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A70DC"/>
    <w:rsid w:val="00BB7CE0"/>
    <w:rsid w:val="00BC04D4"/>
    <w:rsid w:val="00BC0615"/>
    <w:rsid w:val="00BC0CF7"/>
    <w:rsid w:val="00BC33E8"/>
    <w:rsid w:val="00BC6332"/>
    <w:rsid w:val="00BC79FE"/>
    <w:rsid w:val="00BC7CB8"/>
    <w:rsid w:val="00BD298D"/>
    <w:rsid w:val="00BD35CB"/>
    <w:rsid w:val="00BD4E75"/>
    <w:rsid w:val="00BD6322"/>
    <w:rsid w:val="00BD648D"/>
    <w:rsid w:val="00BD7175"/>
    <w:rsid w:val="00BD7F80"/>
    <w:rsid w:val="00BE0F2B"/>
    <w:rsid w:val="00BE1470"/>
    <w:rsid w:val="00BE2DD3"/>
    <w:rsid w:val="00BE7C0C"/>
    <w:rsid w:val="00BF2E27"/>
    <w:rsid w:val="00BF5438"/>
    <w:rsid w:val="00C077F8"/>
    <w:rsid w:val="00C07CA7"/>
    <w:rsid w:val="00C13942"/>
    <w:rsid w:val="00C13A87"/>
    <w:rsid w:val="00C14154"/>
    <w:rsid w:val="00C16EF2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0E44"/>
    <w:rsid w:val="00C71038"/>
    <w:rsid w:val="00C71BA7"/>
    <w:rsid w:val="00C724F9"/>
    <w:rsid w:val="00C73307"/>
    <w:rsid w:val="00C734AC"/>
    <w:rsid w:val="00C76938"/>
    <w:rsid w:val="00C82DFF"/>
    <w:rsid w:val="00C93D60"/>
    <w:rsid w:val="00C93E1E"/>
    <w:rsid w:val="00C94D54"/>
    <w:rsid w:val="00CA08DE"/>
    <w:rsid w:val="00CA4387"/>
    <w:rsid w:val="00CB2353"/>
    <w:rsid w:val="00CB44CF"/>
    <w:rsid w:val="00CB6062"/>
    <w:rsid w:val="00CB6A6A"/>
    <w:rsid w:val="00CC207E"/>
    <w:rsid w:val="00CC4053"/>
    <w:rsid w:val="00CC5613"/>
    <w:rsid w:val="00CD0299"/>
    <w:rsid w:val="00CD0D01"/>
    <w:rsid w:val="00CD238C"/>
    <w:rsid w:val="00CD3C45"/>
    <w:rsid w:val="00CD400E"/>
    <w:rsid w:val="00CD5BA5"/>
    <w:rsid w:val="00CD69C7"/>
    <w:rsid w:val="00CE11BD"/>
    <w:rsid w:val="00CE4C8F"/>
    <w:rsid w:val="00CF19E4"/>
    <w:rsid w:val="00CF4FDB"/>
    <w:rsid w:val="00CF62E6"/>
    <w:rsid w:val="00CF64DA"/>
    <w:rsid w:val="00CF6711"/>
    <w:rsid w:val="00D04771"/>
    <w:rsid w:val="00D06266"/>
    <w:rsid w:val="00D11B1F"/>
    <w:rsid w:val="00D11B94"/>
    <w:rsid w:val="00D14364"/>
    <w:rsid w:val="00D1483A"/>
    <w:rsid w:val="00D14E82"/>
    <w:rsid w:val="00D16459"/>
    <w:rsid w:val="00D309A9"/>
    <w:rsid w:val="00D36832"/>
    <w:rsid w:val="00D4090E"/>
    <w:rsid w:val="00D446CD"/>
    <w:rsid w:val="00D479CD"/>
    <w:rsid w:val="00D52355"/>
    <w:rsid w:val="00D53102"/>
    <w:rsid w:val="00D53D13"/>
    <w:rsid w:val="00D5557E"/>
    <w:rsid w:val="00D55CCA"/>
    <w:rsid w:val="00D57B07"/>
    <w:rsid w:val="00D64058"/>
    <w:rsid w:val="00D649E4"/>
    <w:rsid w:val="00D67109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A7F76"/>
    <w:rsid w:val="00DB7D8C"/>
    <w:rsid w:val="00DC00C7"/>
    <w:rsid w:val="00DC0575"/>
    <w:rsid w:val="00DC2838"/>
    <w:rsid w:val="00DC2F6A"/>
    <w:rsid w:val="00DC4A50"/>
    <w:rsid w:val="00DD1BA8"/>
    <w:rsid w:val="00DD331D"/>
    <w:rsid w:val="00DD3703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DF515E"/>
    <w:rsid w:val="00E02D01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25210"/>
    <w:rsid w:val="00E320C2"/>
    <w:rsid w:val="00E33F98"/>
    <w:rsid w:val="00E3596D"/>
    <w:rsid w:val="00E35C6A"/>
    <w:rsid w:val="00E366C0"/>
    <w:rsid w:val="00E37727"/>
    <w:rsid w:val="00E46EE4"/>
    <w:rsid w:val="00E56657"/>
    <w:rsid w:val="00E60398"/>
    <w:rsid w:val="00E628B9"/>
    <w:rsid w:val="00E62D3B"/>
    <w:rsid w:val="00E62F32"/>
    <w:rsid w:val="00E63E04"/>
    <w:rsid w:val="00E644FC"/>
    <w:rsid w:val="00E64F87"/>
    <w:rsid w:val="00E77C53"/>
    <w:rsid w:val="00E80479"/>
    <w:rsid w:val="00E833A0"/>
    <w:rsid w:val="00E8492A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04ED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EF2AD8"/>
    <w:rsid w:val="00EF4AE4"/>
    <w:rsid w:val="00EF5889"/>
    <w:rsid w:val="00EF6EFC"/>
    <w:rsid w:val="00F01E7E"/>
    <w:rsid w:val="00F02413"/>
    <w:rsid w:val="00F048E2"/>
    <w:rsid w:val="00F063C2"/>
    <w:rsid w:val="00F06A8A"/>
    <w:rsid w:val="00F12C00"/>
    <w:rsid w:val="00F216EC"/>
    <w:rsid w:val="00F2546A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95F09"/>
    <w:rsid w:val="00F97FED"/>
    <w:rsid w:val="00FA1537"/>
    <w:rsid w:val="00FA5170"/>
    <w:rsid w:val="00FA5186"/>
    <w:rsid w:val="00FA5B61"/>
    <w:rsid w:val="00FA75F4"/>
    <w:rsid w:val="00FB0140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3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customStyle="1" w:styleId="panelnewsmeta">
    <w:name w:val="panel_news_meta"/>
    <w:basedOn w:val="a"/>
    <w:rsid w:val="007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7E21EB"/>
  </w:style>
  <w:style w:type="character" w:customStyle="1" w:styleId="day">
    <w:name w:val="day"/>
    <w:basedOn w:val="a0"/>
    <w:rsid w:val="001620AB"/>
  </w:style>
  <w:style w:type="character" w:customStyle="1" w:styleId="year">
    <w:name w:val="year"/>
    <w:basedOn w:val="a0"/>
    <w:rsid w:val="0016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6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6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4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5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32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6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AB0F-DA29-4EB3-925F-20AA531F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4172</TotalTime>
  <Pages>32</Pages>
  <Words>13428</Words>
  <Characters>76541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Учетная запись Майкрософт</cp:lastModifiedBy>
  <cp:revision>181</cp:revision>
  <cp:lastPrinted>2018-09-04T08:39:00Z</cp:lastPrinted>
  <dcterms:created xsi:type="dcterms:W3CDTF">2018-09-04T11:04:00Z</dcterms:created>
  <dcterms:modified xsi:type="dcterms:W3CDTF">2020-10-30T02:56:00Z</dcterms:modified>
</cp:coreProperties>
</file>