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DD239" w14:textId="77777777" w:rsidR="00F672EC" w:rsidRDefault="00F672EC" w:rsidP="009666B2">
      <w:pPr>
        <w:spacing w:after="0" w:line="240" w:lineRule="auto"/>
        <w:ind w:firstLine="567"/>
        <w:jc w:val="both"/>
        <w:rPr>
          <w:rFonts w:ascii="Times New Roman" w:hAnsi="Times New Roman" w:cs="Times New Roman"/>
          <w:sz w:val="28"/>
          <w:szCs w:val="28"/>
          <w:lang w:val="kk-KZ"/>
        </w:rPr>
      </w:pPr>
    </w:p>
    <w:p w14:paraId="2192A860" w14:textId="48866680" w:rsidR="00F672EC" w:rsidRPr="00FD6BD4" w:rsidRDefault="00F672EC" w:rsidP="00BC287D">
      <w:pPr>
        <w:spacing w:after="0" w:line="240" w:lineRule="auto"/>
        <w:ind w:firstLine="567"/>
        <w:jc w:val="both"/>
        <w:rPr>
          <w:rFonts w:ascii="Times New Roman" w:eastAsia="Times New Roman" w:hAnsi="Times New Roman" w:cs="Times New Roman"/>
          <w:b/>
          <w:bCs/>
          <w:sz w:val="28"/>
          <w:szCs w:val="28"/>
          <w:lang w:val="en-US" w:eastAsia="ru-RU"/>
        </w:rPr>
      </w:pPr>
      <w:r w:rsidRPr="00FD6BD4">
        <w:rPr>
          <w:rFonts w:ascii="Times New Roman" w:eastAsia="Times New Roman" w:hAnsi="Times New Roman" w:cs="Times New Roman"/>
          <w:b/>
          <w:bCs/>
          <w:sz w:val="28"/>
          <w:szCs w:val="28"/>
          <w:lang w:val="en-US" w:eastAsia="ru-RU"/>
        </w:rPr>
        <w:t xml:space="preserve">The meeting of the Board of Directors dated </w:t>
      </w:r>
      <w:r w:rsidR="001B7B92">
        <w:rPr>
          <w:rFonts w:ascii="Times New Roman" w:eastAsia="Times New Roman" w:hAnsi="Times New Roman" w:cs="Times New Roman"/>
          <w:b/>
          <w:bCs/>
          <w:sz w:val="28"/>
          <w:szCs w:val="28"/>
          <w:lang w:val="en-US" w:eastAsia="ru-RU"/>
        </w:rPr>
        <w:t>December 23</w:t>
      </w:r>
      <w:r w:rsidRPr="00FD6BD4">
        <w:rPr>
          <w:rFonts w:ascii="Times New Roman" w:eastAsia="Times New Roman" w:hAnsi="Times New Roman" w:cs="Times New Roman"/>
          <w:b/>
          <w:bCs/>
          <w:sz w:val="28"/>
          <w:szCs w:val="28"/>
          <w:lang w:val="en-US" w:eastAsia="ru-RU"/>
        </w:rPr>
        <w:t xml:space="preserve">, 2024. </w:t>
      </w:r>
    </w:p>
    <w:p w14:paraId="6562FD0C" w14:textId="77777777" w:rsidR="00F672EC" w:rsidRDefault="00F672EC" w:rsidP="00BC287D">
      <w:pPr>
        <w:spacing w:after="0" w:line="240" w:lineRule="auto"/>
        <w:ind w:firstLine="567"/>
        <w:jc w:val="both"/>
        <w:rPr>
          <w:rFonts w:ascii="Times New Roman" w:eastAsia="Times New Roman" w:hAnsi="Times New Roman" w:cs="Times New Roman"/>
          <w:sz w:val="28"/>
          <w:szCs w:val="28"/>
          <w:lang w:val="en-US" w:eastAsia="ru-RU"/>
        </w:rPr>
      </w:pPr>
    </w:p>
    <w:p w14:paraId="2989F2DA" w14:textId="7CFF7E08" w:rsidR="00F672EC" w:rsidRPr="00FD6BD4" w:rsidRDefault="00F672EC" w:rsidP="00BC287D">
      <w:pPr>
        <w:spacing w:after="0" w:line="240" w:lineRule="auto"/>
        <w:ind w:firstLine="567"/>
        <w:jc w:val="both"/>
        <w:rPr>
          <w:rFonts w:ascii="Times New Roman" w:eastAsia="Times New Roman" w:hAnsi="Times New Roman" w:cs="Times New Roman"/>
          <w:b/>
          <w:sz w:val="28"/>
          <w:szCs w:val="28"/>
          <w:lang w:val="en-US" w:eastAsia="ru-RU"/>
        </w:rPr>
      </w:pPr>
      <w:r w:rsidRPr="00FD6BD4">
        <w:rPr>
          <w:rFonts w:ascii="Times New Roman" w:eastAsia="Times New Roman" w:hAnsi="Times New Roman" w:cs="Times New Roman"/>
          <w:sz w:val="28"/>
          <w:szCs w:val="28"/>
          <w:lang w:val="en-US" w:eastAsia="ru-RU"/>
        </w:rPr>
        <w:t xml:space="preserve">The Company’s Board of Directors addressed the following agenda items on </w:t>
      </w:r>
      <w:r w:rsidR="001B7B92">
        <w:rPr>
          <w:rFonts w:ascii="Times New Roman" w:eastAsia="Times New Roman" w:hAnsi="Times New Roman" w:cs="Times New Roman"/>
          <w:sz w:val="28"/>
          <w:szCs w:val="28"/>
          <w:lang w:val="en-US" w:eastAsia="ru-RU"/>
        </w:rPr>
        <w:t>December 23</w:t>
      </w:r>
      <w:r w:rsidRPr="00FD6BD4">
        <w:rPr>
          <w:rFonts w:ascii="Times New Roman" w:eastAsia="Times New Roman" w:hAnsi="Times New Roman" w:cs="Times New Roman"/>
          <w:sz w:val="28"/>
          <w:szCs w:val="28"/>
          <w:lang w:val="en-US" w:eastAsia="ru-RU"/>
        </w:rPr>
        <w:t xml:space="preserve">, 2024, in accordance with “Samruk-Energy” JSC Charter, the Regulations on the Board of Directors of “Samruk-Energy” JSC, the Republic of Kazakhstan </w:t>
      </w:r>
      <w:r w:rsidR="001B7B92">
        <w:rPr>
          <w:rFonts w:ascii="Times New Roman" w:eastAsia="Times New Roman" w:hAnsi="Times New Roman" w:cs="Times New Roman"/>
          <w:sz w:val="28"/>
          <w:szCs w:val="28"/>
          <w:lang w:val="en-US" w:eastAsia="ru-RU"/>
        </w:rPr>
        <w:t>l</w:t>
      </w:r>
      <w:r w:rsidRPr="00FD6BD4">
        <w:rPr>
          <w:rFonts w:ascii="Times New Roman" w:eastAsia="Times New Roman" w:hAnsi="Times New Roman" w:cs="Times New Roman"/>
          <w:sz w:val="28"/>
          <w:szCs w:val="28"/>
          <w:lang w:val="en-US" w:eastAsia="ru-RU"/>
        </w:rPr>
        <w:t xml:space="preserve">aw "On </w:t>
      </w:r>
      <w:r w:rsidRPr="00FD6BD4">
        <w:rPr>
          <w:rFonts w:ascii="Times New Roman" w:eastAsia="Times New Roman" w:hAnsi="Times New Roman" w:cs="Times New Roman"/>
          <w:bCs/>
          <w:sz w:val="28"/>
          <w:szCs w:val="28"/>
          <w:lang w:val="en-US" w:eastAsia="ru-RU"/>
        </w:rPr>
        <w:t>joint-stock companies":</w:t>
      </w:r>
    </w:p>
    <w:p w14:paraId="19D307DC" w14:textId="14539970"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Report by the </w:t>
      </w:r>
      <w:r w:rsidR="00360DDC" w:rsidRPr="00F672EC">
        <w:rPr>
          <w:rFonts w:ascii="Times New Roman" w:hAnsi="Times New Roman" w:cs="Times New Roman"/>
          <w:sz w:val="28"/>
          <w:szCs w:val="28"/>
          <w:lang w:val="kk-KZ"/>
        </w:rPr>
        <w:t>chair</w:t>
      </w:r>
      <w:r w:rsidRPr="00F672EC">
        <w:rPr>
          <w:rFonts w:ascii="Times New Roman" w:hAnsi="Times New Roman" w:cs="Times New Roman"/>
          <w:sz w:val="28"/>
          <w:szCs w:val="28"/>
          <w:lang w:val="kk-KZ"/>
        </w:rPr>
        <w:t xml:space="preserve"> of the management board for the reporting period of 2024</w:t>
      </w:r>
      <w:proofErr w:type="gramStart"/>
      <w:r w:rsidRPr="00F672EC">
        <w:rPr>
          <w:rFonts w:ascii="Times New Roman" w:hAnsi="Times New Roman" w:cs="Times New Roman"/>
          <w:sz w:val="28"/>
          <w:szCs w:val="28"/>
          <w:lang w:val="kk-KZ"/>
        </w:rPr>
        <w:t>;</w:t>
      </w:r>
      <w:proofErr w:type="gramEnd"/>
    </w:p>
    <w:p w14:paraId="4FE1527F" w14:textId="70E83977"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Report by the executive officer on economic and financial matters for the reporting period of 2024;</w:t>
      </w:r>
    </w:p>
    <w:p w14:paraId="1226A83C" w14:textId="084D8166"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Pr="00F672EC">
        <w:rPr>
          <w:rFonts w:ascii="Times New Roman" w:hAnsi="Times New Roman" w:cs="Times New Roman"/>
          <w:sz w:val="28"/>
          <w:szCs w:val="28"/>
          <w:lang w:val="kk-KZ"/>
        </w:rPr>
        <w:t>Approval of the report on the implementation of the action plan for the comp</w:t>
      </w:r>
      <w:r>
        <w:rPr>
          <w:rFonts w:ascii="Times New Roman" w:hAnsi="Times New Roman" w:cs="Times New Roman"/>
          <w:sz w:val="28"/>
          <w:szCs w:val="28"/>
          <w:lang w:val="en-US"/>
        </w:rPr>
        <w:t>an</w:t>
      </w:r>
      <w:r w:rsidRPr="00F672EC">
        <w:rPr>
          <w:rFonts w:ascii="Times New Roman" w:hAnsi="Times New Roman" w:cs="Times New Roman"/>
          <w:sz w:val="28"/>
          <w:szCs w:val="28"/>
          <w:lang w:val="kk-KZ"/>
        </w:rPr>
        <w:t>y’s development strategy for 2024–2033, based on the results of operations for the first nine months of 2024;</w:t>
      </w:r>
    </w:p>
    <w:p w14:paraId="7010ADF5" w14:textId="1FCFF27B"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Approval of the 2025 key performance indicators (KPIs) for executive officers and the corporate secretary of the company;</w:t>
      </w:r>
    </w:p>
    <w:p w14:paraId="4AEE77A1" w14:textId="49E22FDE"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Execution of supplementary agreement no. 2 to loan agreement no. DZ-35 dated July 10, 2024, between "Energy Solutions Center"</w:t>
      </w:r>
      <w:r>
        <w:rPr>
          <w:rFonts w:ascii="Times New Roman" w:hAnsi="Times New Roman" w:cs="Times New Roman"/>
          <w:sz w:val="28"/>
          <w:szCs w:val="28"/>
          <w:lang w:val="en-US"/>
        </w:rPr>
        <w:t xml:space="preserve"> LLP</w:t>
      </w:r>
      <w:r w:rsidRPr="00F672EC">
        <w:rPr>
          <w:rFonts w:ascii="Times New Roman" w:hAnsi="Times New Roman" w:cs="Times New Roman"/>
          <w:sz w:val="28"/>
          <w:szCs w:val="28"/>
          <w:lang w:val="kk-KZ"/>
        </w:rPr>
        <w:t xml:space="preserve"> and the company;</w:t>
      </w:r>
    </w:p>
    <w:p w14:paraId="39703D6C" w14:textId="68BEE269"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F672EC">
        <w:rPr>
          <w:rFonts w:ascii="Times New Roman" w:hAnsi="Times New Roman" w:cs="Times New Roman"/>
          <w:sz w:val="28"/>
          <w:szCs w:val="28"/>
          <w:lang w:val="kk-KZ"/>
        </w:rPr>
        <w:t>Review of the report on investment utilization for the company’s projects based on the results of the third quarter of 2024</w:t>
      </w:r>
      <w:proofErr w:type="gramStart"/>
      <w:r w:rsidRPr="00F672EC">
        <w:rPr>
          <w:rFonts w:ascii="Times New Roman" w:hAnsi="Times New Roman" w:cs="Times New Roman"/>
          <w:sz w:val="28"/>
          <w:szCs w:val="28"/>
          <w:lang w:val="kk-KZ"/>
        </w:rPr>
        <w:t>;</w:t>
      </w:r>
      <w:proofErr w:type="gramEnd"/>
    </w:p>
    <w:p w14:paraId="21F11B39" w14:textId="2A59C102"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F672EC">
        <w:rPr>
          <w:rFonts w:ascii="Times New Roman" w:hAnsi="Times New Roman" w:cs="Times New Roman"/>
          <w:sz w:val="28"/>
          <w:szCs w:val="28"/>
          <w:lang w:val="kk-KZ"/>
        </w:rPr>
        <w:t>Approval of the company’s investment project portfolio;</w:t>
      </w:r>
    </w:p>
    <w:p w14:paraId="39AE1C05" w14:textId="72C41BA9"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Amendments and additions to contract agreement no. 2023K0018 dated May 31, 2023, concluded between  "Almaty </w:t>
      </w:r>
      <w:r>
        <w:rPr>
          <w:rFonts w:ascii="Times New Roman" w:hAnsi="Times New Roman" w:cs="Times New Roman"/>
          <w:sz w:val="28"/>
          <w:szCs w:val="28"/>
          <w:lang w:val="en-US"/>
        </w:rPr>
        <w:t>Power Plants</w:t>
      </w:r>
      <w:r w:rsidRPr="00F672EC">
        <w:rPr>
          <w:rFonts w:ascii="Times New Roman" w:hAnsi="Times New Roman" w:cs="Times New Roman"/>
          <w:sz w:val="28"/>
          <w:szCs w:val="28"/>
          <w:lang w:val="kk-KZ"/>
        </w:rPr>
        <w:t>"</w:t>
      </w:r>
      <w:r>
        <w:rPr>
          <w:rFonts w:ascii="Times New Roman" w:hAnsi="Times New Roman" w:cs="Times New Roman"/>
          <w:sz w:val="28"/>
          <w:szCs w:val="28"/>
          <w:lang w:val="en-US"/>
        </w:rPr>
        <w:t xml:space="preserve"> JSC</w:t>
      </w:r>
      <w:r w:rsidRPr="00F672EC">
        <w:rPr>
          <w:rFonts w:ascii="Times New Roman" w:hAnsi="Times New Roman" w:cs="Times New Roman"/>
          <w:sz w:val="28"/>
          <w:szCs w:val="28"/>
          <w:lang w:val="kk-KZ"/>
        </w:rPr>
        <w:t xml:space="preserve"> (</w:t>
      </w:r>
      <w:r>
        <w:rPr>
          <w:rFonts w:ascii="Times New Roman" w:hAnsi="Times New Roman" w:cs="Times New Roman"/>
          <w:sz w:val="28"/>
          <w:szCs w:val="28"/>
          <w:lang w:val="en-US"/>
        </w:rPr>
        <w:t>APP</w:t>
      </w:r>
      <w:r w:rsidRPr="00F672EC">
        <w:rPr>
          <w:rFonts w:ascii="Times New Roman" w:hAnsi="Times New Roman" w:cs="Times New Roman"/>
          <w:sz w:val="28"/>
          <w:szCs w:val="28"/>
          <w:lang w:val="kk-KZ"/>
        </w:rPr>
        <w:t>) and the consortium "Dongfang Electric International Corporation &amp; PowerChina SEPCO1 Electric Power Construction Co., Ltd &amp; PowerChina Hebei Electric Power Engineering Co., Ltd," by signing supplementary agreement no. 4;</w:t>
      </w:r>
    </w:p>
    <w:p w14:paraId="6775BC23" w14:textId="2667A8F1" w:rsidR="00F672EC" w:rsidRPr="00F672EC" w:rsidRDefault="00F672EC" w:rsidP="00BC287D">
      <w:pPr>
        <w:spacing w:after="0" w:line="240" w:lineRule="auto"/>
        <w:ind w:firstLine="567"/>
        <w:jc w:val="both"/>
        <w:rPr>
          <w:rFonts w:ascii="Times New Roman" w:hAnsi="Times New Roman" w:cs="Times New Roman"/>
          <w:sz w:val="28"/>
          <w:szCs w:val="28"/>
          <w:lang w:val="kk-KZ"/>
        </w:rPr>
      </w:pPr>
      <w:proofErr w:type="gramStart"/>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Amendments to the loan agreement dated June 9, 2023, concluded between  "Almaty </w:t>
      </w:r>
      <w:r>
        <w:rPr>
          <w:rFonts w:ascii="Times New Roman" w:hAnsi="Times New Roman" w:cs="Times New Roman"/>
          <w:sz w:val="28"/>
          <w:szCs w:val="28"/>
          <w:lang w:val="en-US"/>
        </w:rPr>
        <w:t>Power Plants</w:t>
      </w:r>
      <w:r w:rsidRPr="00F672EC">
        <w:rPr>
          <w:rFonts w:ascii="Times New Roman" w:hAnsi="Times New Roman" w:cs="Times New Roman"/>
          <w:sz w:val="28"/>
          <w:szCs w:val="28"/>
          <w:lang w:val="kk-KZ"/>
        </w:rPr>
        <w:t>" (</w:t>
      </w:r>
      <w:r>
        <w:rPr>
          <w:rFonts w:ascii="Times New Roman" w:hAnsi="Times New Roman" w:cs="Times New Roman"/>
          <w:sz w:val="28"/>
          <w:szCs w:val="28"/>
          <w:lang w:val="en-US"/>
        </w:rPr>
        <w:t>APP</w:t>
      </w:r>
      <w:r w:rsidRPr="00F672EC">
        <w:rPr>
          <w:rFonts w:ascii="Times New Roman" w:hAnsi="Times New Roman" w:cs="Times New Roman"/>
          <w:sz w:val="28"/>
          <w:szCs w:val="28"/>
          <w:lang w:val="kk-KZ"/>
        </w:rPr>
        <w:t xml:space="preserve">) and the Asian Development Bank, through the signing of an amendment agreement for a facility of up to 98 billion KZT (deed of amendment relating to an up to 98,000,000,000 KZT facility agreement dated June 9, 2023, between </w:t>
      </w:r>
      <w:r>
        <w:rPr>
          <w:rFonts w:ascii="Times New Roman" w:hAnsi="Times New Roman" w:cs="Times New Roman"/>
          <w:sz w:val="28"/>
          <w:szCs w:val="28"/>
          <w:lang w:val="en-US"/>
        </w:rPr>
        <w:t>“Almaty Power Plants” JSC</w:t>
      </w:r>
      <w:r w:rsidRPr="00F672EC">
        <w:rPr>
          <w:rFonts w:ascii="Times New Roman" w:hAnsi="Times New Roman" w:cs="Times New Roman"/>
          <w:sz w:val="28"/>
          <w:szCs w:val="28"/>
          <w:lang w:val="kk-KZ"/>
        </w:rPr>
        <w:t xml:space="preserve"> and the Asian Development Bank);</w:t>
      </w:r>
      <w:proofErr w:type="gramEnd"/>
    </w:p>
    <w:p w14:paraId="0FA33DAB" w14:textId="368C8BE5"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Approval of the list of the company’s non-strategic assets;</w:t>
      </w:r>
    </w:p>
    <w:p w14:paraId="79366CFD" w14:textId="474CF9B1" w:rsidR="00F672EC" w:rsidRPr="00F672EC" w:rsidRDefault="00F672EC" w:rsidP="00BC287D">
      <w:pPr>
        <w:spacing w:after="0" w:line="240" w:lineRule="auto"/>
        <w:ind w:firstLine="567"/>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en-US"/>
        </w:rPr>
        <w:t>-</w:t>
      </w:r>
      <w:r w:rsidRPr="00F672EC">
        <w:rPr>
          <w:rFonts w:ascii="Times New Roman" w:hAnsi="Times New Roman" w:cs="Times New Roman"/>
          <w:sz w:val="28"/>
          <w:szCs w:val="28"/>
          <w:lang w:val="kk-KZ"/>
        </w:rPr>
        <w:t xml:space="preserve">  Defining the company’s position on agenda items for the general meetings of participants of "Kokshetau CHP"</w:t>
      </w:r>
      <w:r>
        <w:rPr>
          <w:rFonts w:ascii="Times New Roman" w:hAnsi="Times New Roman" w:cs="Times New Roman"/>
          <w:sz w:val="28"/>
          <w:szCs w:val="28"/>
          <w:lang w:val="en-US"/>
        </w:rPr>
        <w:t xml:space="preserve"> LLP, “</w:t>
      </w:r>
      <w:r w:rsidRPr="00F672EC">
        <w:rPr>
          <w:rFonts w:ascii="Times New Roman" w:hAnsi="Times New Roman" w:cs="Times New Roman"/>
          <w:sz w:val="28"/>
          <w:szCs w:val="28"/>
          <w:lang w:val="kk-KZ"/>
        </w:rPr>
        <w:t>Semey Energo"</w:t>
      </w:r>
      <w:r>
        <w:rPr>
          <w:rFonts w:ascii="Times New Roman" w:hAnsi="Times New Roman" w:cs="Times New Roman"/>
          <w:sz w:val="28"/>
          <w:szCs w:val="28"/>
          <w:lang w:val="en-US"/>
        </w:rPr>
        <w:t xml:space="preserve"> LLP</w:t>
      </w:r>
      <w:r w:rsidRPr="00F672EC">
        <w:rPr>
          <w:rFonts w:ascii="Times New Roman" w:hAnsi="Times New Roman" w:cs="Times New Roman"/>
          <w:sz w:val="28"/>
          <w:szCs w:val="28"/>
          <w:lang w:val="kk-KZ"/>
        </w:rPr>
        <w:t xml:space="preserve"> and "Ust-Kamenogorsk Energo"</w:t>
      </w:r>
      <w:r>
        <w:rPr>
          <w:rFonts w:ascii="Times New Roman" w:hAnsi="Times New Roman" w:cs="Times New Roman"/>
          <w:sz w:val="28"/>
          <w:szCs w:val="28"/>
          <w:lang w:val="en-US"/>
        </w:rPr>
        <w:t xml:space="preserve"> LLP</w:t>
      </w:r>
      <w:r w:rsidRPr="00F672EC">
        <w:rPr>
          <w:rFonts w:ascii="Times New Roman" w:hAnsi="Times New Roman" w:cs="Times New Roman"/>
          <w:sz w:val="28"/>
          <w:szCs w:val="28"/>
          <w:lang w:val="kk-KZ"/>
        </w:rPr>
        <w:t xml:space="preserve"> concerning specific issues of these entities;</w:t>
      </w:r>
    </w:p>
    <w:p w14:paraId="3800206B" w14:textId="3F09F8E9" w:rsidR="00F672EC" w:rsidRP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Pr="00F672EC">
        <w:rPr>
          <w:rFonts w:ascii="Times New Roman" w:hAnsi="Times New Roman" w:cs="Times New Roman"/>
          <w:sz w:val="28"/>
          <w:szCs w:val="28"/>
          <w:lang w:val="kk-KZ"/>
        </w:rPr>
        <w:t>Approval of the consolidated risk register and risk map for 2025, the action plan for managing key risks of the company’s group of companies for 2025, including tolerance levels for each key risk, and the key risk indicator passports for 2025;</w:t>
      </w:r>
    </w:p>
    <w:p w14:paraId="71226B32" w14:textId="6F13E180" w:rsidR="00F672EC" w:rsidRDefault="00F672E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en-US"/>
        </w:rPr>
        <w:t>-</w:t>
      </w:r>
      <w:r w:rsidR="00BC287D" w:rsidRPr="00BC287D">
        <w:rPr>
          <w:rFonts w:ascii="Times New Roman" w:hAnsi="Times New Roman" w:cs="Times New Roman"/>
          <w:sz w:val="28"/>
          <w:szCs w:val="28"/>
          <w:lang w:val="en-US"/>
        </w:rPr>
        <w:t xml:space="preserve"> </w:t>
      </w:r>
      <w:r w:rsidRPr="00F672EC">
        <w:rPr>
          <w:rFonts w:ascii="Times New Roman" w:hAnsi="Times New Roman" w:cs="Times New Roman"/>
          <w:sz w:val="28"/>
          <w:szCs w:val="28"/>
          <w:lang w:val="kk-KZ"/>
        </w:rPr>
        <w:t xml:space="preserve">Imposition of disciplinary action against the general director </w:t>
      </w:r>
      <w:r w:rsidR="00360DDC" w:rsidRPr="00F672EC">
        <w:rPr>
          <w:rFonts w:ascii="Times New Roman" w:hAnsi="Times New Roman" w:cs="Times New Roman"/>
          <w:sz w:val="28"/>
          <w:szCs w:val="28"/>
          <w:lang w:val="kk-KZ"/>
        </w:rPr>
        <w:t>of «</w:t>
      </w:r>
      <w:r w:rsidRPr="00F672EC">
        <w:rPr>
          <w:rFonts w:ascii="Times New Roman" w:hAnsi="Times New Roman" w:cs="Times New Roman"/>
          <w:sz w:val="28"/>
          <w:szCs w:val="28"/>
          <w:lang w:val="kk-KZ"/>
        </w:rPr>
        <w:t>Bogatyr Komir"</w:t>
      </w:r>
      <w:r>
        <w:rPr>
          <w:rFonts w:ascii="Times New Roman" w:hAnsi="Times New Roman" w:cs="Times New Roman"/>
          <w:sz w:val="28"/>
          <w:szCs w:val="28"/>
          <w:lang w:val="en-US"/>
        </w:rPr>
        <w:t xml:space="preserve"> LLP</w:t>
      </w:r>
      <w:r w:rsidRPr="00F672EC">
        <w:rPr>
          <w:rFonts w:ascii="Times New Roman" w:hAnsi="Times New Roman" w:cs="Times New Roman"/>
          <w:sz w:val="28"/>
          <w:szCs w:val="28"/>
          <w:lang w:val="kk-KZ"/>
        </w:rPr>
        <w:t xml:space="preserve"> Mr. </w:t>
      </w:r>
      <w:r>
        <w:rPr>
          <w:rFonts w:ascii="Times New Roman" w:hAnsi="Times New Roman" w:cs="Times New Roman"/>
          <w:sz w:val="28"/>
          <w:szCs w:val="28"/>
          <w:lang w:val="en-US"/>
        </w:rPr>
        <w:t>K</w:t>
      </w:r>
      <w:r w:rsidRPr="00F672EC">
        <w:rPr>
          <w:rFonts w:ascii="Times New Roman" w:hAnsi="Times New Roman" w:cs="Times New Roman"/>
          <w:sz w:val="28"/>
          <w:szCs w:val="28"/>
          <w:lang w:val="kk-KZ"/>
        </w:rPr>
        <w:t>orsakov</w:t>
      </w:r>
      <w:r>
        <w:rPr>
          <w:rFonts w:ascii="Times New Roman" w:hAnsi="Times New Roman" w:cs="Times New Roman"/>
          <w:sz w:val="28"/>
          <w:szCs w:val="28"/>
          <w:lang w:val="en-US"/>
        </w:rPr>
        <w:t xml:space="preserve"> N.N.</w:t>
      </w:r>
      <w:r w:rsidRPr="00F672EC">
        <w:rPr>
          <w:rFonts w:ascii="Times New Roman" w:hAnsi="Times New Roman" w:cs="Times New Roman"/>
          <w:sz w:val="28"/>
          <w:szCs w:val="28"/>
          <w:lang w:val="kk-KZ"/>
        </w:rPr>
        <w:t xml:space="preserve">, for inadequate oversight and failure to ensure proper occupational safety measures, which </w:t>
      </w:r>
      <w:r w:rsidR="00360DDC">
        <w:rPr>
          <w:rFonts w:ascii="Times New Roman" w:hAnsi="Times New Roman" w:cs="Times New Roman"/>
          <w:sz w:val="28"/>
          <w:szCs w:val="28"/>
          <w:lang w:val="kk-KZ"/>
        </w:rPr>
        <w:t>resulted in workplace accidents;</w:t>
      </w:r>
    </w:p>
    <w:p w14:paraId="3B8C763A" w14:textId="43A85757" w:rsidR="00360DDC" w:rsidRPr="00F672EC" w:rsidRDefault="00360DDC" w:rsidP="00BC287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60DDC">
        <w:rPr>
          <w:rFonts w:ascii="Times New Roman" w:hAnsi="Times New Roman" w:cs="Times New Roman"/>
          <w:sz w:val="28"/>
          <w:szCs w:val="28"/>
          <w:lang w:val="kk-KZ"/>
        </w:rPr>
        <w:t>On the approval of the conclusion of supplementary agreement No. 20 to the Credit Line Agreement dated August 9, 2017, No. KS 01-17-19 with  "Halyk Bank of Kazakhstan" JSC</w:t>
      </w:r>
      <w:r>
        <w:rPr>
          <w:rFonts w:ascii="Times New Roman" w:hAnsi="Times New Roman" w:cs="Times New Roman"/>
          <w:sz w:val="28"/>
          <w:szCs w:val="28"/>
          <w:lang w:val="kk-KZ"/>
        </w:rPr>
        <w:t>.</w:t>
      </w:r>
    </w:p>
    <w:p w14:paraId="099706E7" w14:textId="77777777" w:rsidR="00F672EC" w:rsidRDefault="00F672EC" w:rsidP="00BC287D">
      <w:pPr>
        <w:spacing w:after="0" w:line="240" w:lineRule="auto"/>
        <w:ind w:firstLine="567"/>
        <w:jc w:val="both"/>
        <w:rPr>
          <w:rFonts w:ascii="Times New Roman" w:hAnsi="Times New Roman" w:cs="Times New Roman"/>
          <w:sz w:val="28"/>
          <w:szCs w:val="28"/>
          <w:lang w:val="kk-KZ"/>
        </w:rPr>
      </w:pPr>
    </w:p>
    <w:p w14:paraId="032BADAB" w14:textId="77777777" w:rsidR="00F672EC" w:rsidRDefault="00F672EC" w:rsidP="00BC287D">
      <w:pPr>
        <w:spacing w:after="0" w:line="240" w:lineRule="auto"/>
        <w:ind w:firstLine="567"/>
        <w:jc w:val="both"/>
        <w:rPr>
          <w:rFonts w:ascii="Times New Roman" w:hAnsi="Times New Roman" w:cs="Times New Roman"/>
          <w:sz w:val="28"/>
          <w:szCs w:val="28"/>
          <w:lang w:val="kk-KZ"/>
        </w:rPr>
      </w:pPr>
    </w:p>
    <w:p w14:paraId="287421DF" w14:textId="77777777" w:rsidR="001B7B92" w:rsidRPr="00FD6BD4" w:rsidRDefault="001B7B92" w:rsidP="00BC287D">
      <w:pPr>
        <w:spacing w:after="0" w:line="240" w:lineRule="auto"/>
        <w:ind w:firstLine="567"/>
        <w:jc w:val="both"/>
        <w:rPr>
          <w:rFonts w:ascii="Times New Roman" w:eastAsia="Times New Roman" w:hAnsi="Times New Roman" w:cs="Times New Roman"/>
          <w:b/>
          <w:sz w:val="28"/>
          <w:szCs w:val="28"/>
          <w:lang w:val="en-US" w:eastAsia="ru-RU"/>
        </w:rPr>
      </w:pPr>
      <w:r w:rsidRPr="00FD6BD4">
        <w:rPr>
          <w:rFonts w:ascii="Times New Roman" w:eastAsia="Times New Roman" w:hAnsi="Times New Roman" w:cs="Times New Roman"/>
          <w:b/>
          <w:sz w:val="28"/>
          <w:szCs w:val="28"/>
          <w:lang w:val="en-US" w:eastAsia="ru-RU"/>
        </w:rPr>
        <w:t xml:space="preserve">The following members of the Board of Directors participated: </w:t>
      </w:r>
    </w:p>
    <w:p w14:paraId="0A4430EC" w14:textId="77777777" w:rsidR="001B7B92" w:rsidRPr="00FD6BD4" w:rsidRDefault="001B7B92" w:rsidP="00BC287D">
      <w:pPr>
        <w:spacing w:after="0" w:line="240" w:lineRule="auto"/>
        <w:ind w:firstLine="567"/>
        <w:jc w:val="both"/>
        <w:rPr>
          <w:rFonts w:ascii="Times New Roman" w:eastAsia="Times New Roman" w:hAnsi="Times New Roman" w:cs="Times New Roman"/>
          <w:b/>
          <w:sz w:val="28"/>
          <w:szCs w:val="28"/>
          <w:lang w:val="en-US" w:eastAsia="ru-RU"/>
        </w:rPr>
      </w:pPr>
      <w:r w:rsidRPr="00FD6BD4">
        <w:rPr>
          <w:rFonts w:ascii="Times New Roman" w:eastAsia="Times New Roman" w:hAnsi="Times New Roman" w:cs="Times New Roman"/>
          <w:b/>
          <w:sz w:val="28"/>
          <w:szCs w:val="28"/>
          <w:lang w:val="en-US" w:eastAsia="ru-RU"/>
        </w:rPr>
        <w:t xml:space="preserve">Kazutin </w:t>
      </w:r>
      <w:proofErr w:type="spellStart"/>
      <w:r w:rsidRPr="00FD6BD4">
        <w:rPr>
          <w:rFonts w:ascii="Times New Roman" w:eastAsia="Times New Roman" w:hAnsi="Times New Roman" w:cs="Times New Roman"/>
          <w:b/>
          <w:sz w:val="28"/>
          <w:szCs w:val="28"/>
          <w:lang w:val="en-US" w:eastAsia="ru-RU"/>
        </w:rPr>
        <w:t>N.Yu</w:t>
      </w:r>
      <w:proofErr w:type="spellEnd"/>
      <w:r w:rsidRPr="00FD6BD4">
        <w:rPr>
          <w:rFonts w:ascii="Times New Roman" w:eastAsia="Times New Roman" w:hAnsi="Times New Roman" w:cs="Times New Roman"/>
          <w:b/>
          <w:sz w:val="28"/>
          <w:szCs w:val="28"/>
          <w:lang w:val="en-US" w:eastAsia="ru-RU"/>
        </w:rPr>
        <w:t>., Ogay A.V., Maxutov K.B., Moldabayev K.T.,</w:t>
      </w:r>
    </w:p>
    <w:p w14:paraId="75157718" w14:textId="77777777" w:rsidR="001B7B92" w:rsidRPr="00FD6BD4" w:rsidRDefault="001B7B92" w:rsidP="00BC287D">
      <w:pPr>
        <w:spacing w:after="0" w:line="240" w:lineRule="auto"/>
        <w:ind w:firstLine="567"/>
        <w:jc w:val="both"/>
        <w:rPr>
          <w:rFonts w:ascii="Times New Roman" w:eastAsia="Times New Roman" w:hAnsi="Times New Roman" w:cs="Times New Roman"/>
          <w:b/>
          <w:sz w:val="28"/>
          <w:szCs w:val="28"/>
          <w:lang w:val="en-US" w:eastAsia="ru-RU"/>
        </w:rPr>
      </w:pPr>
      <w:r w:rsidRPr="00FD6BD4">
        <w:rPr>
          <w:rFonts w:ascii="Times New Roman" w:eastAsia="Times New Roman" w:hAnsi="Times New Roman" w:cs="Times New Roman"/>
          <w:b/>
          <w:sz w:val="28"/>
          <w:szCs w:val="28"/>
          <w:lang w:val="en-US" w:eastAsia="ru-RU"/>
        </w:rPr>
        <w:t xml:space="preserve">Ogay V.D., Kashkinbekov A.K., Zhubayev A.S. </w:t>
      </w:r>
    </w:p>
    <w:p w14:paraId="5386B7BF" w14:textId="77777777" w:rsidR="001B7B92" w:rsidRPr="00FD6BD4" w:rsidRDefault="001B7B92" w:rsidP="001B7B92">
      <w:pPr>
        <w:rPr>
          <w:lang w:val="en-US"/>
        </w:rPr>
      </w:pPr>
    </w:p>
    <w:p w14:paraId="770136C7" w14:textId="77777777" w:rsidR="00F672EC" w:rsidRPr="001B7B92" w:rsidRDefault="00F672EC" w:rsidP="009666B2">
      <w:pPr>
        <w:spacing w:after="0" w:line="240" w:lineRule="auto"/>
        <w:ind w:firstLine="567"/>
        <w:jc w:val="both"/>
        <w:rPr>
          <w:rFonts w:ascii="Times New Roman" w:hAnsi="Times New Roman" w:cs="Times New Roman"/>
          <w:sz w:val="28"/>
          <w:szCs w:val="28"/>
          <w:lang w:val="en-US"/>
        </w:rPr>
      </w:pPr>
    </w:p>
    <w:p w14:paraId="6FB7B767" w14:textId="77777777" w:rsidR="00F672EC" w:rsidRDefault="00F672EC" w:rsidP="009666B2">
      <w:pPr>
        <w:spacing w:after="0" w:line="240" w:lineRule="auto"/>
        <w:ind w:firstLine="567"/>
        <w:jc w:val="both"/>
        <w:rPr>
          <w:rFonts w:ascii="Times New Roman" w:hAnsi="Times New Roman" w:cs="Times New Roman"/>
          <w:sz w:val="28"/>
          <w:szCs w:val="28"/>
          <w:lang w:val="kk-KZ"/>
        </w:rPr>
      </w:pPr>
    </w:p>
    <w:p w14:paraId="0F32C8C0" w14:textId="77777777" w:rsidR="00F672EC" w:rsidRDefault="00F672EC" w:rsidP="009666B2">
      <w:pPr>
        <w:spacing w:after="0" w:line="240" w:lineRule="auto"/>
        <w:ind w:firstLine="567"/>
        <w:jc w:val="both"/>
        <w:rPr>
          <w:rFonts w:ascii="Times New Roman" w:hAnsi="Times New Roman" w:cs="Times New Roman"/>
          <w:sz w:val="28"/>
          <w:szCs w:val="28"/>
          <w:lang w:val="kk-KZ"/>
        </w:rPr>
      </w:pPr>
    </w:p>
    <w:p w14:paraId="01304ADE" w14:textId="77777777" w:rsidR="009666B2" w:rsidRDefault="009666B2" w:rsidP="009666B2">
      <w:pPr>
        <w:spacing w:after="0" w:line="240" w:lineRule="auto"/>
        <w:ind w:firstLine="567"/>
        <w:jc w:val="both"/>
        <w:rPr>
          <w:rFonts w:ascii="Times New Roman" w:hAnsi="Times New Roman" w:cs="Times New Roman"/>
          <w:sz w:val="28"/>
          <w:szCs w:val="28"/>
          <w:lang w:val="kk-KZ"/>
        </w:rPr>
      </w:pPr>
    </w:p>
    <w:p w14:paraId="5FD757D7" w14:textId="77777777" w:rsidR="009666B2" w:rsidRPr="00360DDC" w:rsidRDefault="009666B2" w:rsidP="009666B2">
      <w:pPr>
        <w:rPr>
          <w:lang w:val="en-US"/>
        </w:rPr>
      </w:pPr>
    </w:p>
    <w:p w14:paraId="6351CD03" w14:textId="77777777" w:rsidR="00BE46C4" w:rsidRPr="00360DDC" w:rsidRDefault="00BE46C4">
      <w:pPr>
        <w:rPr>
          <w:lang w:val="en-US"/>
        </w:rPr>
      </w:pPr>
    </w:p>
    <w:sectPr w:rsidR="00BE46C4" w:rsidRPr="00360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B2"/>
    <w:rsid w:val="001B7B92"/>
    <w:rsid w:val="00360DDC"/>
    <w:rsid w:val="009666B2"/>
    <w:rsid w:val="00BC287D"/>
    <w:rsid w:val="00BE46C4"/>
    <w:rsid w:val="00F6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0A16"/>
  <w15:chartTrackingRefBased/>
  <w15:docId w15:val="{8504ADB9-9E66-4090-A2E1-003EFE4C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B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63466">
      <w:bodyDiv w:val="1"/>
      <w:marLeft w:val="0"/>
      <w:marRight w:val="0"/>
      <w:marTop w:val="0"/>
      <w:marBottom w:val="0"/>
      <w:divBdr>
        <w:top w:val="none" w:sz="0" w:space="0" w:color="auto"/>
        <w:left w:val="none" w:sz="0" w:space="0" w:color="auto"/>
        <w:bottom w:val="none" w:sz="0" w:space="0" w:color="auto"/>
        <w:right w:val="none" w:sz="0" w:space="0" w:color="auto"/>
      </w:divBdr>
    </w:div>
    <w:div w:id="136756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4</cp:revision>
  <dcterms:created xsi:type="dcterms:W3CDTF">2024-12-13T05:05:00Z</dcterms:created>
  <dcterms:modified xsi:type="dcterms:W3CDTF">2024-12-23T11:07:00Z</dcterms:modified>
</cp:coreProperties>
</file>