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B3995" w14:textId="77777777" w:rsidR="00B87B61" w:rsidRPr="00F16BBC" w:rsidRDefault="00082A1D" w:rsidP="00082A1D">
      <w:pPr>
        <w:jc w:val="both"/>
        <w:rPr>
          <w:rFonts w:eastAsiaTheme="minorHAnsi"/>
          <w:b/>
          <w:sz w:val="28"/>
          <w:szCs w:val="28"/>
          <w:lang w:val="en-US" w:eastAsia="en-US"/>
        </w:rPr>
      </w:pPr>
      <w:r w:rsidRPr="00F16BBC">
        <w:rPr>
          <w:rFonts w:eastAsiaTheme="minorHAnsi"/>
          <w:b/>
          <w:sz w:val="28"/>
          <w:szCs w:val="28"/>
          <w:lang w:val="en-US" w:eastAsia="en-US"/>
        </w:rPr>
        <w:t xml:space="preserve">        </w:t>
      </w:r>
    </w:p>
    <w:p w14:paraId="1424D056" w14:textId="77777777" w:rsidR="00B87B61" w:rsidRPr="00F16BBC" w:rsidRDefault="00B87B61" w:rsidP="00082A1D">
      <w:pPr>
        <w:jc w:val="both"/>
        <w:rPr>
          <w:rFonts w:eastAsiaTheme="minorHAnsi"/>
          <w:b/>
          <w:sz w:val="28"/>
          <w:szCs w:val="28"/>
          <w:lang w:val="en-US" w:eastAsia="en-US"/>
        </w:rPr>
      </w:pPr>
    </w:p>
    <w:p w14:paraId="2A51C218" w14:textId="1771B459" w:rsidR="00B87B61" w:rsidRPr="00B87B61" w:rsidRDefault="00B87B61" w:rsidP="00046320">
      <w:pPr>
        <w:ind w:firstLine="567"/>
        <w:jc w:val="both"/>
        <w:rPr>
          <w:b/>
          <w:bCs/>
          <w:sz w:val="28"/>
          <w:szCs w:val="28"/>
          <w:lang w:val="en-US"/>
        </w:rPr>
      </w:pPr>
      <w:r w:rsidRPr="00B87B61">
        <w:rPr>
          <w:b/>
          <w:bCs/>
          <w:sz w:val="28"/>
          <w:szCs w:val="28"/>
          <w:lang w:val="en-US"/>
        </w:rPr>
        <w:t>The meeting of the Board of Directors dated December 2</w:t>
      </w:r>
      <w:r>
        <w:rPr>
          <w:b/>
          <w:bCs/>
          <w:sz w:val="28"/>
          <w:szCs w:val="28"/>
          <w:lang w:val="en-US"/>
        </w:rPr>
        <w:t>4</w:t>
      </w:r>
      <w:r w:rsidRPr="00B87B61">
        <w:rPr>
          <w:b/>
          <w:bCs/>
          <w:sz w:val="28"/>
          <w:szCs w:val="28"/>
          <w:lang w:val="en-US"/>
        </w:rPr>
        <w:t xml:space="preserve">, 2024. </w:t>
      </w:r>
    </w:p>
    <w:p w14:paraId="1D8FD5A2" w14:textId="77777777" w:rsidR="00B87B61" w:rsidRPr="00B87B61" w:rsidRDefault="00B87B61" w:rsidP="00B87B61">
      <w:pPr>
        <w:ind w:firstLine="567"/>
        <w:jc w:val="both"/>
        <w:rPr>
          <w:sz w:val="28"/>
          <w:szCs w:val="28"/>
          <w:lang w:val="en-US"/>
        </w:rPr>
      </w:pPr>
    </w:p>
    <w:p w14:paraId="32036332" w14:textId="7B490004" w:rsidR="00B87B61" w:rsidRPr="00B87B61" w:rsidRDefault="00B87B61" w:rsidP="00B87B61">
      <w:pPr>
        <w:ind w:firstLine="567"/>
        <w:jc w:val="both"/>
        <w:rPr>
          <w:b/>
          <w:sz w:val="28"/>
          <w:szCs w:val="28"/>
          <w:lang w:val="en-US"/>
        </w:rPr>
      </w:pPr>
      <w:r w:rsidRPr="00B87B61">
        <w:rPr>
          <w:sz w:val="28"/>
          <w:szCs w:val="28"/>
          <w:lang w:val="en-US"/>
        </w:rPr>
        <w:t>The Company’s Board of Directors addressed the following agenda items on December 2</w:t>
      </w:r>
      <w:r>
        <w:rPr>
          <w:sz w:val="28"/>
          <w:szCs w:val="28"/>
          <w:lang w:val="en-US"/>
        </w:rPr>
        <w:t>4</w:t>
      </w:r>
      <w:r w:rsidRPr="00B87B61">
        <w:rPr>
          <w:sz w:val="28"/>
          <w:szCs w:val="28"/>
          <w:lang w:val="en-US"/>
        </w:rPr>
        <w:t xml:space="preserve">, 2024, in accordance with “Samruk-Energy” JSC Charter, the Regulations on the Board of Directors of “Samruk-Energy” JSC, the Republic of Kazakhstan law "On </w:t>
      </w:r>
      <w:r w:rsidRPr="00B87B61">
        <w:rPr>
          <w:bCs/>
          <w:sz w:val="28"/>
          <w:szCs w:val="28"/>
          <w:lang w:val="en-US"/>
        </w:rPr>
        <w:t>joint-stock companies":</w:t>
      </w:r>
    </w:p>
    <w:p w14:paraId="29E55E1F" w14:textId="7E5FC4C5" w:rsidR="00B87B61" w:rsidRPr="00AE0EF7" w:rsidRDefault="00B87B61" w:rsidP="00F16BBC">
      <w:pPr>
        <w:ind w:firstLine="567"/>
        <w:jc w:val="both"/>
        <w:rPr>
          <w:rFonts w:eastAsiaTheme="minorHAnsi"/>
          <w:sz w:val="28"/>
          <w:szCs w:val="28"/>
          <w:lang w:val="en-US" w:eastAsia="en-US"/>
        </w:rPr>
      </w:pPr>
      <w:r w:rsidRPr="00B87B61">
        <w:rPr>
          <w:rFonts w:eastAsiaTheme="minorHAnsi"/>
          <w:sz w:val="28"/>
          <w:szCs w:val="28"/>
          <w:lang w:val="en-US" w:eastAsia="en-US"/>
        </w:rPr>
        <w:t>-  Approval of the Company's interim financial statements as of September 3</w:t>
      </w:r>
      <w:r w:rsidR="00AE0EF7">
        <w:rPr>
          <w:rFonts w:eastAsiaTheme="minorHAnsi"/>
          <w:sz w:val="28"/>
          <w:szCs w:val="28"/>
          <w:lang w:val="en-US" w:eastAsia="en-US"/>
        </w:rPr>
        <w:t>0, 2024</w:t>
      </w:r>
      <w:r w:rsidR="00AE0EF7" w:rsidRPr="00AE0EF7">
        <w:rPr>
          <w:rFonts w:eastAsiaTheme="minorHAnsi"/>
          <w:sz w:val="28"/>
          <w:szCs w:val="28"/>
          <w:lang w:val="en-US" w:eastAsia="en-US"/>
        </w:rPr>
        <w:t>;</w:t>
      </w:r>
    </w:p>
    <w:p w14:paraId="5F589298" w14:textId="6F1AB086" w:rsidR="00B87B61" w:rsidRPr="00B87B61" w:rsidRDefault="00B87B61" w:rsidP="00F16BBC">
      <w:pPr>
        <w:ind w:firstLine="567"/>
        <w:jc w:val="both"/>
        <w:rPr>
          <w:rFonts w:eastAsiaTheme="minorHAnsi"/>
          <w:sz w:val="28"/>
          <w:szCs w:val="28"/>
          <w:lang w:val="en-US" w:eastAsia="en-US"/>
        </w:rPr>
      </w:pPr>
      <w:r w:rsidRPr="00B87B61">
        <w:rPr>
          <w:rFonts w:eastAsiaTheme="minorHAnsi"/>
          <w:sz w:val="28"/>
          <w:szCs w:val="28"/>
          <w:lang w:val="en-US" w:eastAsia="en-US"/>
        </w:rPr>
        <w:t>- Approval of the revised Corporate A</w:t>
      </w:r>
      <w:r w:rsidR="00AE0EF7">
        <w:rPr>
          <w:rFonts w:eastAsiaTheme="minorHAnsi"/>
          <w:sz w:val="28"/>
          <w:szCs w:val="28"/>
          <w:lang w:val="en-US" w:eastAsia="en-US"/>
        </w:rPr>
        <w:t>ccounting Policy of the Company;</w:t>
      </w:r>
    </w:p>
    <w:p w14:paraId="63FCA80F" w14:textId="1ABC75B7" w:rsidR="00B87B61" w:rsidRPr="00B87B61" w:rsidRDefault="00B87B61" w:rsidP="00F16BBC">
      <w:pPr>
        <w:ind w:firstLine="567"/>
        <w:jc w:val="both"/>
        <w:rPr>
          <w:rFonts w:eastAsiaTheme="minorHAnsi"/>
          <w:sz w:val="28"/>
          <w:szCs w:val="28"/>
          <w:lang w:val="en-US" w:eastAsia="en-US"/>
        </w:rPr>
      </w:pPr>
      <w:r w:rsidRPr="00B87B61">
        <w:rPr>
          <w:rFonts w:eastAsiaTheme="minorHAnsi"/>
          <w:sz w:val="28"/>
          <w:szCs w:val="28"/>
          <w:lang w:val="en-US" w:eastAsia="en-US"/>
        </w:rPr>
        <w:t>-Approval of the updated</w:t>
      </w:r>
      <w:r w:rsidR="00AE0EF7">
        <w:rPr>
          <w:rFonts w:eastAsiaTheme="minorHAnsi"/>
          <w:sz w:val="28"/>
          <w:szCs w:val="28"/>
          <w:lang w:val="en-US" w:eastAsia="en-US"/>
        </w:rPr>
        <w:t xml:space="preserve"> Policy on engaging audit firms;</w:t>
      </w:r>
    </w:p>
    <w:p w14:paraId="6EC8354B" w14:textId="5CCDF99A" w:rsidR="00B87B61" w:rsidRPr="00B87B61" w:rsidRDefault="00B87B61" w:rsidP="00F16BBC">
      <w:pPr>
        <w:ind w:firstLine="567"/>
        <w:jc w:val="both"/>
        <w:rPr>
          <w:rFonts w:eastAsiaTheme="minorHAnsi"/>
          <w:sz w:val="28"/>
          <w:szCs w:val="28"/>
          <w:lang w:val="en-US" w:eastAsia="en-US"/>
        </w:rPr>
      </w:pPr>
      <w:r w:rsidRPr="00B87B61">
        <w:rPr>
          <w:rFonts w:eastAsiaTheme="minorHAnsi"/>
          <w:sz w:val="28"/>
          <w:szCs w:val="28"/>
          <w:lang w:val="en-US" w:eastAsia="en-US"/>
        </w:rPr>
        <w:t>- Review of the Cybersecurity and Information Security Report, including an analysis and evaluation of the adequacy of internal controls for safeguarding and maintainin</w:t>
      </w:r>
      <w:r w:rsidR="00AE0EF7">
        <w:rPr>
          <w:rFonts w:eastAsiaTheme="minorHAnsi"/>
          <w:sz w:val="28"/>
          <w:szCs w:val="28"/>
          <w:lang w:val="en-US" w:eastAsia="en-US"/>
        </w:rPr>
        <w:t>g IT systems and infrastructure</w:t>
      </w:r>
      <w:proofErr w:type="gramStart"/>
      <w:r w:rsidR="00AE0EF7">
        <w:rPr>
          <w:rFonts w:eastAsiaTheme="minorHAnsi"/>
          <w:sz w:val="28"/>
          <w:szCs w:val="28"/>
          <w:lang w:val="en-US" w:eastAsia="en-US"/>
        </w:rPr>
        <w:t>;</w:t>
      </w:r>
      <w:proofErr w:type="gramEnd"/>
    </w:p>
    <w:p w14:paraId="11B16307" w14:textId="014CD232" w:rsidR="00B87B61" w:rsidRPr="00B87B61" w:rsidRDefault="00B87B61" w:rsidP="00F16BBC">
      <w:pPr>
        <w:ind w:firstLine="567"/>
        <w:jc w:val="both"/>
        <w:rPr>
          <w:rFonts w:eastAsiaTheme="minorHAnsi"/>
          <w:sz w:val="28"/>
          <w:szCs w:val="28"/>
          <w:lang w:val="en-US" w:eastAsia="en-US"/>
        </w:rPr>
      </w:pPr>
      <w:r w:rsidRPr="00B87B61">
        <w:rPr>
          <w:rFonts w:eastAsiaTheme="minorHAnsi"/>
          <w:sz w:val="28"/>
          <w:szCs w:val="28"/>
          <w:lang w:val="en-US" w:eastAsia="en-US"/>
        </w:rPr>
        <w:t>-Approval of</w:t>
      </w:r>
      <w:r w:rsidR="00AE0EF7">
        <w:rPr>
          <w:rFonts w:eastAsiaTheme="minorHAnsi"/>
          <w:sz w:val="28"/>
          <w:szCs w:val="28"/>
          <w:lang w:val="en-US" w:eastAsia="en-US"/>
        </w:rPr>
        <w:t xml:space="preserve"> the Company’s job descriptions;</w:t>
      </w:r>
    </w:p>
    <w:p w14:paraId="5D30C2DB" w14:textId="5C5E05C4" w:rsidR="00B87B61" w:rsidRPr="00B87B61" w:rsidRDefault="00B87B61" w:rsidP="00F16BBC">
      <w:pPr>
        <w:ind w:firstLine="567"/>
        <w:jc w:val="both"/>
        <w:rPr>
          <w:rFonts w:eastAsiaTheme="minorHAnsi"/>
          <w:sz w:val="28"/>
          <w:szCs w:val="28"/>
          <w:lang w:val="en-US" w:eastAsia="en-US"/>
        </w:rPr>
      </w:pPr>
      <w:r w:rsidRPr="00B87B61">
        <w:rPr>
          <w:rFonts w:eastAsiaTheme="minorHAnsi"/>
          <w:sz w:val="28"/>
          <w:szCs w:val="28"/>
          <w:lang w:val="en-US" w:eastAsia="en-US"/>
        </w:rPr>
        <w:t>-Report and evaluation of the Internal Audit Service’s performance for the fourth quarter of 2024, including approval of performance-</w:t>
      </w:r>
      <w:r w:rsidR="00AE0EF7">
        <w:rPr>
          <w:rFonts w:eastAsiaTheme="minorHAnsi"/>
          <w:sz w:val="28"/>
          <w:szCs w:val="28"/>
          <w:lang w:val="en-US" w:eastAsia="en-US"/>
        </w:rPr>
        <w:t>based bonuses for its employees;</w:t>
      </w:r>
    </w:p>
    <w:p w14:paraId="32B0380E" w14:textId="69D98898" w:rsidR="00B87B61" w:rsidRPr="00B87B61" w:rsidRDefault="00B87B61" w:rsidP="00F16BBC">
      <w:pPr>
        <w:ind w:firstLine="567"/>
        <w:jc w:val="both"/>
        <w:rPr>
          <w:rFonts w:eastAsiaTheme="minorHAnsi"/>
          <w:sz w:val="28"/>
          <w:szCs w:val="28"/>
          <w:lang w:val="en-US" w:eastAsia="en-US"/>
        </w:rPr>
      </w:pPr>
      <w:r w:rsidRPr="00B87B61">
        <w:rPr>
          <w:rFonts w:eastAsiaTheme="minorHAnsi"/>
          <w:sz w:val="28"/>
          <w:szCs w:val="28"/>
          <w:lang w:val="en-US" w:eastAsia="en-US"/>
        </w:rPr>
        <w:t>- Report and evaluation of the Internal Audit Service’s performance for 2024, including approval of performance-based bonuses funded through payroll savings based on</w:t>
      </w:r>
      <w:r w:rsidR="00AE0EF7">
        <w:rPr>
          <w:rFonts w:eastAsiaTheme="minorHAnsi"/>
          <w:sz w:val="28"/>
          <w:szCs w:val="28"/>
          <w:lang w:val="en-US" w:eastAsia="en-US"/>
        </w:rPr>
        <w:t xml:space="preserve"> annual performance assessments</w:t>
      </w:r>
      <w:proofErr w:type="gramStart"/>
      <w:r w:rsidR="00AE0EF7">
        <w:rPr>
          <w:rFonts w:eastAsiaTheme="minorHAnsi"/>
          <w:sz w:val="28"/>
          <w:szCs w:val="28"/>
          <w:lang w:val="en-US" w:eastAsia="en-US"/>
        </w:rPr>
        <w:t>;</w:t>
      </w:r>
      <w:proofErr w:type="gramEnd"/>
    </w:p>
    <w:p w14:paraId="2D634B87" w14:textId="72C06094" w:rsidR="00B87B61" w:rsidRPr="00B87B61" w:rsidRDefault="00B87B61" w:rsidP="00F16BBC">
      <w:pPr>
        <w:ind w:firstLine="567"/>
        <w:jc w:val="both"/>
        <w:rPr>
          <w:rFonts w:eastAsiaTheme="minorHAnsi"/>
          <w:sz w:val="28"/>
          <w:szCs w:val="28"/>
          <w:lang w:val="en-US" w:eastAsia="en-US"/>
        </w:rPr>
      </w:pPr>
      <w:r w:rsidRPr="00B87B61">
        <w:rPr>
          <w:rFonts w:eastAsiaTheme="minorHAnsi"/>
          <w:sz w:val="28"/>
          <w:szCs w:val="28"/>
          <w:lang w:val="en-US" w:eastAsia="en-US"/>
        </w:rPr>
        <w:t>- Approval of the Internal Audit Service’s Annual Audit Plan and Budget for 2025, including Key Performance Indicators (KPIs) for the Service and its head, goal maps, and individual deve</w:t>
      </w:r>
      <w:r w:rsidR="00AE0EF7">
        <w:rPr>
          <w:rFonts w:eastAsiaTheme="minorHAnsi"/>
          <w:sz w:val="28"/>
          <w:szCs w:val="28"/>
          <w:lang w:val="en-US" w:eastAsia="en-US"/>
        </w:rPr>
        <w:t>lopment plans for its employees</w:t>
      </w:r>
      <w:proofErr w:type="gramStart"/>
      <w:r w:rsidR="00AE0EF7">
        <w:rPr>
          <w:rFonts w:eastAsiaTheme="minorHAnsi"/>
          <w:sz w:val="28"/>
          <w:szCs w:val="28"/>
          <w:lang w:val="en-US" w:eastAsia="en-US"/>
        </w:rPr>
        <w:t>;</w:t>
      </w:r>
      <w:proofErr w:type="gramEnd"/>
    </w:p>
    <w:p w14:paraId="2F35F933" w14:textId="77777777" w:rsidR="00AE0EF7" w:rsidRDefault="00B87B61" w:rsidP="00F16BBC">
      <w:pPr>
        <w:ind w:firstLine="567"/>
        <w:jc w:val="both"/>
        <w:rPr>
          <w:rFonts w:eastAsiaTheme="minorHAnsi"/>
          <w:sz w:val="28"/>
          <w:szCs w:val="28"/>
          <w:lang w:val="en-US" w:eastAsia="en-US"/>
        </w:rPr>
      </w:pPr>
      <w:r w:rsidRPr="00B87B61">
        <w:rPr>
          <w:rFonts w:eastAsiaTheme="minorHAnsi"/>
          <w:sz w:val="28"/>
          <w:szCs w:val="28"/>
          <w:lang w:val="en-US" w:eastAsia="en-US"/>
        </w:rPr>
        <w:t>-Approval of the Compliance Service’s activity report for the fourt</w:t>
      </w:r>
      <w:r w:rsidR="00AE0EF7">
        <w:rPr>
          <w:rFonts w:eastAsiaTheme="minorHAnsi"/>
          <w:sz w:val="28"/>
          <w:szCs w:val="28"/>
          <w:lang w:val="en-US" w:eastAsia="en-US"/>
        </w:rPr>
        <w:t>h quarter and full year of 2024;</w:t>
      </w:r>
    </w:p>
    <w:p w14:paraId="4121A915" w14:textId="5025C4B6" w:rsidR="00B87B61" w:rsidRPr="00B87B61" w:rsidRDefault="00B87B61" w:rsidP="00F16BBC">
      <w:pPr>
        <w:ind w:firstLine="567"/>
        <w:jc w:val="both"/>
        <w:rPr>
          <w:rFonts w:eastAsiaTheme="minorHAnsi"/>
          <w:sz w:val="28"/>
          <w:szCs w:val="28"/>
          <w:lang w:val="en-US" w:eastAsia="en-US"/>
        </w:rPr>
      </w:pPr>
      <w:r w:rsidRPr="00B87B61">
        <w:rPr>
          <w:rFonts w:eastAsiaTheme="minorHAnsi"/>
          <w:sz w:val="28"/>
          <w:szCs w:val="28"/>
          <w:lang w:val="en-US" w:eastAsia="en-US"/>
        </w:rPr>
        <w:t>-Evaluation of the Compliance Service employees' performance for the fourt</w:t>
      </w:r>
      <w:r w:rsidR="00AE0EF7">
        <w:rPr>
          <w:rFonts w:eastAsiaTheme="minorHAnsi"/>
          <w:sz w:val="28"/>
          <w:szCs w:val="28"/>
          <w:lang w:val="en-US" w:eastAsia="en-US"/>
        </w:rPr>
        <w:t>h quarter and full year of 2024;</w:t>
      </w:r>
    </w:p>
    <w:p w14:paraId="43605BDA" w14:textId="7ADEB6F9" w:rsidR="00B87B61" w:rsidRPr="00AE0EF7" w:rsidRDefault="00B87B61" w:rsidP="00F16BBC">
      <w:pPr>
        <w:ind w:firstLine="567"/>
        <w:jc w:val="both"/>
        <w:rPr>
          <w:rFonts w:eastAsiaTheme="minorHAnsi"/>
          <w:sz w:val="28"/>
          <w:szCs w:val="28"/>
          <w:lang w:val="en-US" w:eastAsia="en-US"/>
        </w:rPr>
      </w:pPr>
      <w:r w:rsidRPr="00B87B61">
        <w:rPr>
          <w:rFonts w:eastAsiaTheme="minorHAnsi"/>
          <w:sz w:val="28"/>
          <w:szCs w:val="28"/>
          <w:lang w:val="en-US" w:eastAsia="en-US"/>
        </w:rPr>
        <w:t>- Approval of the Compliance Service employees' goal maps for 2025</w:t>
      </w:r>
      <w:r w:rsidR="00F16BBC">
        <w:rPr>
          <w:rFonts w:eastAsiaTheme="minorHAnsi"/>
          <w:sz w:val="28"/>
          <w:szCs w:val="28"/>
          <w:lang w:val="en-US" w:eastAsia="en-US"/>
        </w:rPr>
        <w:t xml:space="preserve"> and Work plan</w:t>
      </w:r>
      <w:proofErr w:type="gramStart"/>
      <w:r w:rsidR="00AE0EF7" w:rsidRPr="00AE0EF7">
        <w:rPr>
          <w:rFonts w:eastAsiaTheme="minorHAnsi"/>
          <w:sz w:val="28"/>
          <w:szCs w:val="28"/>
          <w:lang w:val="en-US" w:eastAsia="en-US"/>
        </w:rPr>
        <w:t>;</w:t>
      </w:r>
      <w:proofErr w:type="gramEnd"/>
    </w:p>
    <w:p w14:paraId="62B09023" w14:textId="207D1E1E" w:rsidR="00B87B61" w:rsidRPr="00B87B61" w:rsidRDefault="00B87B61" w:rsidP="00F16BBC">
      <w:pPr>
        <w:ind w:firstLine="567"/>
        <w:jc w:val="both"/>
        <w:rPr>
          <w:rFonts w:eastAsiaTheme="minorHAnsi"/>
          <w:sz w:val="28"/>
          <w:szCs w:val="28"/>
          <w:lang w:val="en-US" w:eastAsia="en-US"/>
        </w:rPr>
      </w:pPr>
      <w:r w:rsidRPr="00B87B61">
        <w:rPr>
          <w:rFonts w:eastAsiaTheme="minorHAnsi"/>
          <w:sz w:val="28"/>
          <w:szCs w:val="28"/>
          <w:lang w:val="en-US" w:eastAsia="en-US"/>
        </w:rPr>
        <w:t>-  Approval of the Compliance</w:t>
      </w:r>
      <w:r w:rsidR="00AE0EF7">
        <w:rPr>
          <w:rFonts w:eastAsiaTheme="minorHAnsi"/>
          <w:sz w:val="28"/>
          <w:szCs w:val="28"/>
          <w:lang w:val="en-US" w:eastAsia="en-US"/>
        </w:rPr>
        <w:t xml:space="preserve"> Service training plan for 2025;</w:t>
      </w:r>
    </w:p>
    <w:p w14:paraId="520EA8BF" w14:textId="3AD126C8" w:rsidR="00AE0EF7" w:rsidRPr="00AE0EF7" w:rsidRDefault="00B87B61" w:rsidP="00F16BBC">
      <w:pPr>
        <w:ind w:firstLine="567"/>
        <w:jc w:val="both"/>
        <w:rPr>
          <w:rFonts w:eastAsiaTheme="minorHAnsi"/>
          <w:sz w:val="28"/>
          <w:szCs w:val="28"/>
          <w:lang w:val="en-US" w:eastAsia="en-US"/>
        </w:rPr>
      </w:pPr>
      <w:r w:rsidRPr="00B87B61">
        <w:rPr>
          <w:rFonts w:eastAsiaTheme="minorHAnsi"/>
          <w:sz w:val="28"/>
          <w:szCs w:val="28"/>
          <w:lang w:val="en-US" w:eastAsia="en-US"/>
        </w:rPr>
        <w:t>-  Determination of the salary for the Company’s compliance officer</w:t>
      </w:r>
      <w:r w:rsidR="00AE0EF7" w:rsidRPr="00AE0EF7">
        <w:rPr>
          <w:rFonts w:eastAsiaTheme="minorHAnsi"/>
          <w:sz w:val="28"/>
          <w:szCs w:val="28"/>
          <w:lang w:val="en-US" w:eastAsia="en-US"/>
        </w:rPr>
        <w:t>;</w:t>
      </w:r>
    </w:p>
    <w:p w14:paraId="692CEAA0" w14:textId="1B6A8345" w:rsidR="00B87B61" w:rsidRPr="00B87B61" w:rsidRDefault="00B87B61" w:rsidP="00F16BBC">
      <w:pPr>
        <w:ind w:firstLine="567"/>
        <w:jc w:val="both"/>
        <w:rPr>
          <w:rFonts w:eastAsiaTheme="minorHAnsi"/>
          <w:sz w:val="28"/>
          <w:szCs w:val="28"/>
          <w:lang w:val="en-US" w:eastAsia="en-US"/>
        </w:rPr>
      </w:pPr>
      <w:r w:rsidRPr="00B87B61">
        <w:rPr>
          <w:rFonts w:eastAsiaTheme="minorHAnsi"/>
          <w:sz w:val="28"/>
          <w:szCs w:val="28"/>
          <w:lang w:val="en-US" w:eastAsia="en-US"/>
        </w:rPr>
        <w:t>-  Approval of the Ombudsman’s activity report and evaluation of goal achievement for the fourth quarter and full year of 2024, including approval of performance-</w:t>
      </w:r>
      <w:r w:rsidR="00AE0EF7">
        <w:rPr>
          <w:rFonts w:eastAsiaTheme="minorHAnsi"/>
          <w:sz w:val="28"/>
          <w:szCs w:val="28"/>
          <w:lang w:val="en-US" w:eastAsia="en-US"/>
        </w:rPr>
        <w:t>based bonuses for the Ombudsman;</w:t>
      </w:r>
    </w:p>
    <w:p w14:paraId="7B31DD3B" w14:textId="4431A4B8" w:rsidR="00B87B61" w:rsidRPr="00B87B61" w:rsidRDefault="00B87B61" w:rsidP="00F16BBC">
      <w:pPr>
        <w:ind w:firstLine="567"/>
        <w:jc w:val="both"/>
        <w:rPr>
          <w:rFonts w:eastAsiaTheme="minorHAnsi"/>
          <w:sz w:val="28"/>
          <w:szCs w:val="28"/>
          <w:lang w:val="en-US" w:eastAsia="en-US"/>
        </w:rPr>
      </w:pPr>
      <w:r w:rsidRPr="00B87B61">
        <w:rPr>
          <w:rFonts w:eastAsiaTheme="minorHAnsi"/>
          <w:sz w:val="28"/>
          <w:szCs w:val="28"/>
          <w:lang w:val="en-US" w:eastAsia="en-US"/>
        </w:rPr>
        <w:t>-  Approval of th</w:t>
      </w:r>
      <w:r w:rsidR="00AE0EF7">
        <w:rPr>
          <w:rFonts w:eastAsiaTheme="minorHAnsi"/>
          <w:sz w:val="28"/>
          <w:szCs w:val="28"/>
          <w:lang w:val="en-US" w:eastAsia="en-US"/>
        </w:rPr>
        <w:t>e Ombudsman’s goal map for 2025;</w:t>
      </w:r>
    </w:p>
    <w:p w14:paraId="430109DC" w14:textId="078438E3" w:rsidR="00B87B61" w:rsidRPr="00B87B61" w:rsidRDefault="00B87B61" w:rsidP="00F16BBC">
      <w:pPr>
        <w:ind w:firstLine="567"/>
        <w:jc w:val="both"/>
        <w:rPr>
          <w:rFonts w:eastAsiaTheme="minorHAnsi"/>
          <w:sz w:val="28"/>
          <w:szCs w:val="28"/>
          <w:lang w:val="en-US" w:eastAsia="en-US"/>
        </w:rPr>
      </w:pPr>
      <w:r w:rsidRPr="00B87B61">
        <w:rPr>
          <w:rFonts w:eastAsiaTheme="minorHAnsi"/>
          <w:sz w:val="28"/>
          <w:szCs w:val="28"/>
          <w:lang w:val="en-US" w:eastAsia="en-US"/>
        </w:rPr>
        <w:t>-  Evaluation of the Corporate Secretary’s performance for the fourth quarter and full year of 2024, including approval of performance-based bonuses for the C</w:t>
      </w:r>
      <w:r w:rsidR="00AE0EF7">
        <w:rPr>
          <w:rFonts w:eastAsiaTheme="minorHAnsi"/>
          <w:sz w:val="28"/>
          <w:szCs w:val="28"/>
          <w:lang w:val="en-US" w:eastAsia="en-US"/>
        </w:rPr>
        <w:t>orporate Secretary;</w:t>
      </w:r>
    </w:p>
    <w:p w14:paraId="19E40648" w14:textId="34F473D0" w:rsidR="00B87B61" w:rsidRPr="00B87B61" w:rsidRDefault="00B87B61" w:rsidP="00F16BBC">
      <w:pPr>
        <w:ind w:firstLine="567"/>
        <w:jc w:val="both"/>
        <w:rPr>
          <w:rFonts w:eastAsiaTheme="minorHAnsi"/>
          <w:sz w:val="28"/>
          <w:szCs w:val="28"/>
          <w:lang w:val="en-US" w:eastAsia="en-US"/>
        </w:rPr>
      </w:pPr>
      <w:r w:rsidRPr="00B87B61">
        <w:rPr>
          <w:rFonts w:eastAsiaTheme="minorHAnsi"/>
          <w:sz w:val="28"/>
          <w:szCs w:val="28"/>
          <w:lang w:val="en-US" w:eastAsia="en-US"/>
        </w:rPr>
        <w:t>-  Approval of the Corporate Secretary’s goal map f</w:t>
      </w:r>
      <w:r w:rsidR="00AE0EF7">
        <w:rPr>
          <w:rFonts w:eastAsiaTheme="minorHAnsi"/>
          <w:sz w:val="28"/>
          <w:szCs w:val="28"/>
          <w:lang w:val="en-US" w:eastAsia="en-US"/>
        </w:rPr>
        <w:t>or 2025 (covering all quarters);</w:t>
      </w:r>
    </w:p>
    <w:p w14:paraId="5BD1A4F6" w14:textId="5A62F779" w:rsidR="00B87B61" w:rsidRPr="00B87B61" w:rsidRDefault="00B87B61" w:rsidP="00F16BBC">
      <w:pPr>
        <w:ind w:firstLine="567"/>
        <w:jc w:val="both"/>
        <w:rPr>
          <w:rFonts w:eastAsiaTheme="minorHAnsi"/>
          <w:sz w:val="28"/>
          <w:szCs w:val="28"/>
          <w:lang w:val="en-US" w:eastAsia="en-US"/>
        </w:rPr>
      </w:pPr>
      <w:r w:rsidRPr="00B87B61">
        <w:rPr>
          <w:rFonts w:eastAsiaTheme="minorHAnsi"/>
          <w:sz w:val="28"/>
          <w:szCs w:val="28"/>
          <w:lang w:val="en-US" w:eastAsia="en-US"/>
        </w:rPr>
        <w:t>-  Approval of the Environmental Safety Program for t</w:t>
      </w:r>
      <w:r w:rsidR="00AE0EF7">
        <w:rPr>
          <w:rFonts w:eastAsiaTheme="minorHAnsi"/>
          <w:sz w:val="28"/>
          <w:szCs w:val="28"/>
          <w:lang w:val="en-US" w:eastAsia="en-US"/>
        </w:rPr>
        <w:t>he Company’s group of companies;</w:t>
      </w:r>
    </w:p>
    <w:p w14:paraId="14B26309" w14:textId="5F2DC83F" w:rsidR="00B87B61" w:rsidRPr="00B87B61" w:rsidRDefault="00B87B61" w:rsidP="00F16BBC">
      <w:pPr>
        <w:ind w:firstLine="567"/>
        <w:jc w:val="both"/>
        <w:rPr>
          <w:rFonts w:eastAsiaTheme="minorHAnsi"/>
          <w:sz w:val="28"/>
          <w:szCs w:val="28"/>
          <w:lang w:val="en-US" w:eastAsia="en-US"/>
        </w:rPr>
      </w:pPr>
      <w:r w:rsidRPr="00B87B61">
        <w:rPr>
          <w:rFonts w:eastAsiaTheme="minorHAnsi"/>
          <w:sz w:val="28"/>
          <w:szCs w:val="28"/>
          <w:lang w:val="en-US" w:eastAsia="en-US"/>
        </w:rPr>
        <w:lastRenderedPageBreak/>
        <w:t>-  Approval of the Environmental Protection Action Plan for 2025 for t</w:t>
      </w:r>
      <w:r w:rsidR="00AE0EF7">
        <w:rPr>
          <w:rFonts w:eastAsiaTheme="minorHAnsi"/>
          <w:sz w:val="28"/>
          <w:szCs w:val="28"/>
          <w:lang w:val="en-US" w:eastAsia="en-US"/>
        </w:rPr>
        <w:t>he Company’s group of companies;</w:t>
      </w:r>
    </w:p>
    <w:p w14:paraId="1A8E18CD" w14:textId="02E88373" w:rsidR="00B87B61" w:rsidRPr="00B87B61" w:rsidRDefault="00B87B61" w:rsidP="00F16BBC">
      <w:pPr>
        <w:ind w:firstLine="567"/>
        <w:jc w:val="both"/>
        <w:rPr>
          <w:rFonts w:eastAsiaTheme="minorHAnsi"/>
          <w:sz w:val="28"/>
          <w:szCs w:val="28"/>
          <w:lang w:val="en-US" w:eastAsia="en-US"/>
        </w:rPr>
      </w:pPr>
      <w:r w:rsidRPr="00B87B61">
        <w:rPr>
          <w:rFonts w:eastAsiaTheme="minorHAnsi"/>
          <w:sz w:val="28"/>
          <w:szCs w:val="28"/>
          <w:lang w:val="en-US" w:eastAsia="en-US"/>
        </w:rPr>
        <w:t>-  Approval of the Zero-injury action plan for 2025 for t</w:t>
      </w:r>
      <w:r w:rsidR="00AE0EF7">
        <w:rPr>
          <w:rFonts w:eastAsiaTheme="minorHAnsi"/>
          <w:sz w:val="28"/>
          <w:szCs w:val="28"/>
          <w:lang w:val="en-US" w:eastAsia="en-US"/>
        </w:rPr>
        <w:t>he Company’s group of companies;</w:t>
      </w:r>
    </w:p>
    <w:p w14:paraId="585A43B8" w14:textId="1603AE4A" w:rsidR="00B87B61" w:rsidRPr="00B87B61" w:rsidRDefault="00B87B61" w:rsidP="00F16BBC">
      <w:pPr>
        <w:ind w:firstLine="567"/>
        <w:jc w:val="both"/>
        <w:rPr>
          <w:rFonts w:eastAsiaTheme="minorHAnsi"/>
          <w:sz w:val="28"/>
          <w:szCs w:val="28"/>
          <w:lang w:val="en-US" w:eastAsia="en-US"/>
        </w:rPr>
      </w:pPr>
      <w:r w:rsidRPr="00B87B61">
        <w:rPr>
          <w:rFonts w:eastAsiaTheme="minorHAnsi"/>
          <w:sz w:val="28"/>
          <w:szCs w:val="28"/>
          <w:lang w:val="en-US" w:eastAsia="en-US"/>
        </w:rPr>
        <w:t>- Determination of the Company’s representatives’ position on the agenda item of the extraordinary general meeting of shareholders of "ESDPP-2" JSC regarding the compos</w:t>
      </w:r>
      <w:r w:rsidR="00AE0EF7">
        <w:rPr>
          <w:rFonts w:eastAsiaTheme="minorHAnsi"/>
          <w:sz w:val="28"/>
          <w:szCs w:val="28"/>
          <w:lang w:val="en-US" w:eastAsia="en-US"/>
        </w:rPr>
        <w:t>ition of its Board of Directors;</w:t>
      </w:r>
    </w:p>
    <w:p w14:paraId="19E4BC1E" w14:textId="4DCF72B0" w:rsidR="00B87B61" w:rsidRPr="00B87B61" w:rsidRDefault="00B87B61" w:rsidP="00F16BBC">
      <w:pPr>
        <w:ind w:firstLine="567"/>
        <w:jc w:val="both"/>
        <w:rPr>
          <w:rFonts w:eastAsiaTheme="minorHAnsi"/>
          <w:sz w:val="28"/>
          <w:szCs w:val="28"/>
          <w:lang w:val="en-US" w:eastAsia="en-US"/>
        </w:rPr>
      </w:pPr>
      <w:r w:rsidRPr="00B87B61">
        <w:rPr>
          <w:rFonts w:eastAsiaTheme="minorHAnsi"/>
          <w:sz w:val="28"/>
          <w:szCs w:val="28"/>
          <w:lang w:val="en-US" w:eastAsia="en-US"/>
        </w:rPr>
        <w:t>- Approval of t</w:t>
      </w:r>
      <w:r w:rsidR="00AE0EF7">
        <w:rPr>
          <w:rFonts w:eastAsiaTheme="minorHAnsi"/>
          <w:sz w:val="28"/>
          <w:szCs w:val="28"/>
          <w:lang w:val="en-US" w:eastAsia="en-US"/>
        </w:rPr>
        <w:t>he Company’s Materiality Matrix;</w:t>
      </w:r>
    </w:p>
    <w:p w14:paraId="77118F4E" w14:textId="17F37A94" w:rsidR="00B87B61" w:rsidRPr="00B87B61" w:rsidRDefault="00B87B61" w:rsidP="00F16BBC">
      <w:pPr>
        <w:ind w:firstLine="567"/>
        <w:jc w:val="both"/>
        <w:rPr>
          <w:rFonts w:eastAsiaTheme="minorHAnsi"/>
          <w:sz w:val="28"/>
          <w:szCs w:val="28"/>
          <w:lang w:val="en-US" w:eastAsia="en-US"/>
        </w:rPr>
      </w:pPr>
      <w:r w:rsidRPr="00B87B61">
        <w:rPr>
          <w:rFonts w:eastAsiaTheme="minorHAnsi"/>
          <w:sz w:val="28"/>
          <w:szCs w:val="28"/>
          <w:lang w:val="en-US" w:eastAsia="en-US"/>
        </w:rPr>
        <w:t>- Approval of the Board o</w:t>
      </w:r>
      <w:r w:rsidR="00AE0EF7">
        <w:rPr>
          <w:rFonts w:eastAsiaTheme="minorHAnsi"/>
          <w:sz w:val="28"/>
          <w:szCs w:val="28"/>
          <w:lang w:val="en-US" w:eastAsia="en-US"/>
        </w:rPr>
        <w:t>f Directors’ work plan for 2025;</w:t>
      </w:r>
    </w:p>
    <w:p w14:paraId="77B39D51" w14:textId="3D38D718" w:rsidR="00B87B61" w:rsidRPr="00B87B61" w:rsidRDefault="00B87B61" w:rsidP="00F16BBC">
      <w:pPr>
        <w:ind w:firstLine="567"/>
        <w:jc w:val="both"/>
        <w:rPr>
          <w:rFonts w:eastAsiaTheme="minorHAnsi"/>
          <w:sz w:val="28"/>
          <w:szCs w:val="28"/>
          <w:lang w:val="en-US" w:eastAsia="en-US"/>
        </w:rPr>
      </w:pPr>
      <w:r w:rsidRPr="00B87B61">
        <w:rPr>
          <w:rFonts w:eastAsiaTheme="minorHAnsi"/>
          <w:sz w:val="28"/>
          <w:szCs w:val="28"/>
          <w:lang w:val="en-US" w:eastAsia="en-US"/>
        </w:rPr>
        <w:t>- Evaluation of the performance of the Board of Directors, its committees, the Chairman, individual members, and t</w:t>
      </w:r>
      <w:r w:rsidR="00AE0EF7">
        <w:rPr>
          <w:rFonts w:eastAsiaTheme="minorHAnsi"/>
          <w:sz w:val="28"/>
          <w:szCs w:val="28"/>
          <w:lang w:val="en-US" w:eastAsia="en-US"/>
        </w:rPr>
        <w:t>he Corporate Secretary for 2024;</w:t>
      </w:r>
    </w:p>
    <w:p w14:paraId="12E859FD" w14:textId="547460D3" w:rsidR="00FD1795" w:rsidRPr="00FD1795" w:rsidRDefault="00FD1795" w:rsidP="00FD1795">
      <w:pPr>
        <w:ind w:firstLine="567"/>
        <w:jc w:val="both"/>
        <w:rPr>
          <w:rFonts w:eastAsiaTheme="minorHAnsi"/>
          <w:sz w:val="28"/>
          <w:szCs w:val="28"/>
          <w:lang w:val="en-US" w:eastAsia="en-US"/>
        </w:rPr>
      </w:pPr>
      <w:r w:rsidRPr="00FD1795">
        <w:rPr>
          <w:rFonts w:eastAsiaTheme="minorHAnsi"/>
          <w:sz w:val="28"/>
          <w:szCs w:val="28"/>
          <w:lang w:val="en-US" w:eastAsia="en-US"/>
        </w:rPr>
        <w:t>-  Regarding the early termination of authority and the election of a member of the Board of Directors of "Ust-Kamenogorsk HPP" JSC, including the setting of their term of office, as well as the determination of the amount and terms of remuneration and expense reimbursement for fulfilling their duties as a member of the Board of Directo</w:t>
      </w:r>
      <w:r w:rsidR="00AE0EF7">
        <w:rPr>
          <w:rFonts w:eastAsiaTheme="minorHAnsi"/>
          <w:sz w:val="28"/>
          <w:szCs w:val="28"/>
          <w:lang w:val="en-US" w:eastAsia="en-US"/>
        </w:rPr>
        <w:t>rs of "Ust-Kamenogorsk HPP" JSC;</w:t>
      </w:r>
      <w:bookmarkStart w:id="0" w:name="_GoBack"/>
      <w:bookmarkEnd w:id="0"/>
    </w:p>
    <w:p w14:paraId="319E1C74" w14:textId="32196CDF" w:rsidR="00B87B61" w:rsidRDefault="00FD1795" w:rsidP="00FD1795">
      <w:pPr>
        <w:ind w:firstLine="567"/>
        <w:jc w:val="both"/>
        <w:rPr>
          <w:rFonts w:eastAsiaTheme="minorHAnsi"/>
          <w:sz w:val="28"/>
          <w:szCs w:val="28"/>
          <w:lang w:val="en-US" w:eastAsia="en-US"/>
        </w:rPr>
      </w:pPr>
      <w:r w:rsidRPr="00FD1795">
        <w:rPr>
          <w:rFonts w:eastAsiaTheme="minorHAnsi"/>
          <w:sz w:val="28"/>
          <w:szCs w:val="28"/>
          <w:lang w:val="en-US" w:eastAsia="en-US"/>
        </w:rPr>
        <w:t>-  Regarding the early termination of authority and the election of a member of the Board of Directors of "Bukhtarminsk HPP" JSC, including the setting of their term of office, as well as the determination of the amount and terms of remuneration and expense reimbursement for fulfilling their duties as a member of the Board of Directors of "Bukhtarminsk HPP" JSC.</w:t>
      </w:r>
    </w:p>
    <w:p w14:paraId="14728054" w14:textId="77777777" w:rsidR="00FD1795" w:rsidRPr="00B87B61" w:rsidRDefault="00FD1795" w:rsidP="00FD1795">
      <w:pPr>
        <w:ind w:firstLine="567"/>
        <w:jc w:val="both"/>
        <w:rPr>
          <w:sz w:val="28"/>
          <w:szCs w:val="28"/>
          <w:lang w:val="en-US"/>
        </w:rPr>
      </w:pPr>
    </w:p>
    <w:p w14:paraId="2F9727B5" w14:textId="067BB64E" w:rsidR="00B87B61" w:rsidRPr="00B87B61" w:rsidRDefault="00B87B61" w:rsidP="00B87B61">
      <w:pPr>
        <w:ind w:firstLine="567"/>
        <w:jc w:val="both"/>
        <w:rPr>
          <w:b/>
          <w:sz w:val="28"/>
          <w:szCs w:val="28"/>
          <w:lang w:val="en-US"/>
        </w:rPr>
      </w:pPr>
      <w:r w:rsidRPr="00B87B61">
        <w:rPr>
          <w:b/>
          <w:sz w:val="28"/>
          <w:szCs w:val="28"/>
          <w:lang w:val="en-US"/>
        </w:rPr>
        <w:t xml:space="preserve">The following members of the Board of Directors </w:t>
      </w:r>
      <w:r>
        <w:rPr>
          <w:b/>
          <w:sz w:val="28"/>
          <w:szCs w:val="28"/>
          <w:lang w:val="en-US"/>
        </w:rPr>
        <w:t>voted</w:t>
      </w:r>
      <w:r w:rsidRPr="00B87B61">
        <w:rPr>
          <w:b/>
          <w:sz w:val="28"/>
          <w:szCs w:val="28"/>
          <w:lang w:val="en-US"/>
        </w:rPr>
        <w:t xml:space="preserve">: </w:t>
      </w:r>
    </w:p>
    <w:p w14:paraId="54DB0FE9" w14:textId="77777777" w:rsidR="00B87B61" w:rsidRPr="00B87B61" w:rsidRDefault="00B87B61" w:rsidP="00B87B61">
      <w:pPr>
        <w:ind w:firstLine="567"/>
        <w:jc w:val="both"/>
        <w:rPr>
          <w:b/>
          <w:sz w:val="28"/>
          <w:szCs w:val="28"/>
          <w:lang w:val="en-US"/>
        </w:rPr>
      </w:pPr>
      <w:r w:rsidRPr="00B87B61">
        <w:rPr>
          <w:b/>
          <w:sz w:val="28"/>
          <w:szCs w:val="28"/>
          <w:lang w:val="en-US"/>
        </w:rPr>
        <w:t xml:space="preserve">Kazutin </w:t>
      </w:r>
      <w:proofErr w:type="spellStart"/>
      <w:r w:rsidRPr="00B87B61">
        <w:rPr>
          <w:b/>
          <w:sz w:val="28"/>
          <w:szCs w:val="28"/>
          <w:lang w:val="en-US"/>
        </w:rPr>
        <w:t>N.Yu</w:t>
      </w:r>
      <w:proofErr w:type="spellEnd"/>
      <w:r w:rsidRPr="00B87B61">
        <w:rPr>
          <w:b/>
          <w:sz w:val="28"/>
          <w:szCs w:val="28"/>
          <w:lang w:val="en-US"/>
        </w:rPr>
        <w:t>., Ogay A.V., Maxutov K.B., Moldabayev K.T.,</w:t>
      </w:r>
    </w:p>
    <w:p w14:paraId="72FE5095" w14:textId="77777777" w:rsidR="00B87B61" w:rsidRPr="00B87B61" w:rsidRDefault="00B87B61" w:rsidP="00B87B61">
      <w:pPr>
        <w:ind w:firstLine="567"/>
        <w:jc w:val="both"/>
        <w:rPr>
          <w:b/>
          <w:sz w:val="28"/>
          <w:szCs w:val="28"/>
          <w:lang w:val="en-US"/>
        </w:rPr>
      </w:pPr>
      <w:r w:rsidRPr="00B87B61">
        <w:rPr>
          <w:b/>
          <w:sz w:val="28"/>
          <w:szCs w:val="28"/>
          <w:lang w:val="en-US"/>
        </w:rPr>
        <w:t xml:space="preserve">Ogay V.D., Kashkinbekov A.K., Zhubayev A.S. </w:t>
      </w:r>
    </w:p>
    <w:p w14:paraId="21665666" w14:textId="77777777" w:rsidR="00B87B61" w:rsidRPr="00B87B61" w:rsidRDefault="00B87B61" w:rsidP="00B87B61">
      <w:pPr>
        <w:spacing w:after="160" w:line="252" w:lineRule="auto"/>
        <w:rPr>
          <w:rFonts w:asciiTheme="minorHAnsi" w:eastAsiaTheme="minorHAnsi" w:hAnsiTheme="minorHAnsi" w:cstheme="minorBidi"/>
          <w:sz w:val="22"/>
          <w:szCs w:val="22"/>
          <w:lang w:val="en-US" w:eastAsia="en-US"/>
        </w:rPr>
      </w:pPr>
    </w:p>
    <w:p w14:paraId="02D47B7C" w14:textId="2C91F461" w:rsidR="00B87B61" w:rsidRPr="00B87B61" w:rsidRDefault="00B87B61" w:rsidP="00907A4F">
      <w:pPr>
        <w:ind w:firstLine="567"/>
        <w:jc w:val="both"/>
        <w:rPr>
          <w:sz w:val="28"/>
          <w:szCs w:val="28"/>
          <w:lang w:val="en-US"/>
        </w:rPr>
      </w:pPr>
    </w:p>
    <w:p w14:paraId="7658E6C8" w14:textId="4B9A8AAE" w:rsidR="00B87B61" w:rsidRPr="00B87B61" w:rsidRDefault="00B87B61" w:rsidP="00907A4F">
      <w:pPr>
        <w:ind w:firstLine="567"/>
        <w:jc w:val="both"/>
        <w:rPr>
          <w:sz w:val="28"/>
          <w:szCs w:val="28"/>
          <w:lang w:val="en-US"/>
        </w:rPr>
      </w:pPr>
    </w:p>
    <w:p w14:paraId="02C71127" w14:textId="29E9B3C6" w:rsidR="00B87B61" w:rsidRPr="00B87B61" w:rsidRDefault="00B87B61" w:rsidP="00907A4F">
      <w:pPr>
        <w:ind w:firstLine="567"/>
        <w:jc w:val="both"/>
        <w:rPr>
          <w:sz w:val="28"/>
          <w:szCs w:val="28"/>
          <w:lang w:val="en-US"/>
        </w:rPr>
      </w:pPr>
    </w:p>
    <w:p w14:paraId="05A28C07" w14:textId="47E28B89" w:rsidR="00B87B61" w:rsidRPr="00B87B61" w:rsidRDefault="00B87B61" w:rsidP="00907A4F">
      <w:pPr>
        <w:ind w:firstLine="567"/>
        <w:jc w:val="both"/>
        <w:rPr>
          <w:sz w:val="28"/>
          <w:szCs w:val="28"/>
          <w:lang w:val="en-US"/>
        </w:rPr>
      </w:pPr>
    </w:p>
    <w:p w14:paraId="590FD9F0" w14:textId="5028BDDA" w:rsidR="00B87B61" w:rsidRPr="00B87B61" w:rsidRDefault="00B87B61" w:rsidP="00907A4F">
      <w:pPr>
        <w:ind w:firstLine="567"/>
        <w:jc w:val="both"/>
        <w:rPr>
          <w:sz w:val="28"/>
          <w:szCs w:val="28"/>
          <w:lang w:val="en-US"/>
        </w:rPr>
      </w:pPr>
    </w:p>
    <w:p w14:paraId="46084317" w14:textId="46029C9A" w:rsidR="00B87B61" w:rsidRPr="00B87B61" w:rsidRDefault="00B87B61" w:rsidP="00907A4F">
      <w:pPr>
        <w:ind w:firstLine="567"/>
        <w:jc w:val="both"/>
        <w:rPr>
          <w:sz w:val="28"/>
          <w:szCs w:val="28"/>
          <w:lang w:val="en-US"/>
        </w:rPr>
      </w:pPr>
    </w:p>
    <w:p w14:paraId="6D3E9237" w14:textId="147C32C2" w:rsidR="00B87B61" w:rsidRPr="00B87B61" w:rsidRDefault="00B87B61" w:rsidP="00907A4F">
      <w:pPr>
        <w:ind w:firstLine="567"/>
        <w:jc w:val="both"/>
        <w:rPr>
          <w:sz w:val="28"/>
          <w:szCs w:val="28"/>
          <w:lang w:val="en-US"/>
        </w:rPr>
      </w:pPr>
    </w:p>
    <w:p w14:paraId="7BB3E9CE" w14:textId="401D7FEB" w:rsidR="00B87B61" w:rsidRPr="00B87B61" w:rsidRDefault="00B87B61" w:rsidP="00907A4F">
      <w:pPr>
        <w:ind w:firstLine="567"/>
        <w:jc w:val="both"/>
        <w:rPr>
          <w:sz w:val="28"/>
          <w:szCs w:val="28"/>
          <w:lang w:val="en-US"/>
        </w:rPr>
      </w:pPr>
    </w:p>
    <w:p w14:paraId="46C12C6B" w14:textId="7BD1DABC" w:rsidR="00B87B61" w:rsidRPr="00B87B61" w:rsidRDefault="00B87B61" w:rsidP="00907A4F">
      <w:pPr>
        <w:ind w:firstLine="567"/>
        <w:jc w:val="both"/>
        <w:rPr>
          <w:sz w:val="28"/>
          <w:szCs w:val="28"/>
          <w:lang w:val="en-US"/>
        </w:rPr>
      </w:pPr>
    </w:p>
    <w:p w14:paraId="3CC164A5" w14:textId="623EDBA4" w:rsidR="00B87B61" w:rsidRPr="00B87B61" w:rsidRDefault="00B87B61" w:rsidP="00907A4F">
      <w:pPr>
        <w:ind w:firstLine="567"/>
        <w:jc w:val="both"/>
        <w:rPr>
          <w:sz w:val="28"/>
          <w:szCs w:val="28"/>
          <w:lang w:val="en-US"/>
        </w:rPr>
      </w:pPr>
    </w:p>
    <w:p w14:paraId="207D0A48" w14:textId="77777777" w:rsidR="00B87B61" w:rsidRPr="00B87B61" w:rsidRDefault="00B87B61" w:rsidP="00907A4F">
      <w:pPr>
        <w:ind w:firstLine="567"/>
        <w:jc w:val="both"/>
        <w:rPr>
          <w:b/>
          <w:sz w:val="28"/>
          <w:szCs w:val="28"/>
          <w:lang w:val="en-US"/>
        </w:rPr>
      </w:pPr>
    </w:p>
    <w:p w14:paraId="3365B836" w14:textId="77777777" w:rsidR="00A40BAA" w:rsidRPr="00F16BBC" w:rsidRDefault="00A40BAA">
      <w:pPr>
        <w:rPr>
          <w:lang w:val="en-US"/>
        </w:rPr>
      </w:pPr>
    </w:p>
    <w:sectPr w:rsidR="00A40BAA" w:rsidRPr="00F16B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A1D"/>
    <w:rsid w:val="00046320"/>
    <w:rsid w:val="00082A1D"/>
    <w:rsid w:val="00907A4F"/>
    <w:rsid w:val="00A40BAA"/>
    <w:rsid w:val="00AE0EF7"/>
    <w:rsid w:val="00B87B61"/>
    <w:rsid w:val="00F16BBC"/>
    <w:rsid w:val="00FD1795"/>
    <w:rsid w:val="00FD4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410F"/>
  <w15:chartTrackingRefBased/>
  <w15:docId w15:val="{8F729719-9914-47BF-A242-F1872922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A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87B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420873">
      <w:bodyDiv w:val="1"/>
      <w:marLeft w:val="0"/>
      <w:marRight w:val="0"/>
      <w:marTop w:val="0"/>
      <w:marBottom w:val="0"/>
      <w:divBdr>
        <w:top w:val="none" w:sz="0" w:space="0" w:color="auto"/>
        <w:left w:val="none" w:sz="0" w:space="0" w:color="auto"/>
        <w:bottom w:val="none" w:sz="0" w:space="0" w:color="auto"/>
        <w:right w:val="none" w:sz="0" w:space="0" w:color="auto"/>
      </w:divBdr>
    </w:div>
    <w:div w:id="201761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589</Words>
  <Characters>3359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7</cp:revision>
  <dcterms:created xsi:type="dcterms:W3CDTF">2024-12-13T05:16:00Z</dcterms:created>
  <dcterms:modified xsi:type="dcterms:W3CDTF">2024-12-24T07:39:00Z</dcterms:modified>
</cp:coreProperties>
</file>