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63812" w14:textId="77777777" w:rsidR="000968CE" w:rsidRPr="00BC0393" w:rsidRDefault="000968CE" w:rsidP="009E60F1">
      <w:pPr>
        <w:tabs>
          <w:tab w:val="left" w:pos="5812"/>
        </w:tabs>
        <w:spacing w:after="0" w:line="240" w:lineRule="auto"/>
        <w:ind w:left="5670"/>
        <w:contextualSpacing/>
        <w:rPr>
          <w:rFonts w:eastAsiaTheme="minorHAnsi" w:cstheme="minorBidi"/>
          <w:color w:val="0D0D0D" w:themeColor="text1" w:themeTint="F2"/>
          <w:sz w:val="28"/>
          <w:szCs w:val="28"/>
        </w:rPr>
      </w:pPr>
    </w:p>
    <w:p w14:paraId="6E31AFDA" w14:textId="01E5CD0C" w:rsidR="00F70C66" w:rsidRPr="00991244" w:rsidRDefault="0006441E" w:rsidP="0006441E">
      <w:pPr>
        <w:tabs>
          <w:tab w:val="left" w:pos="5812"/>
        </w:tabs>
        <w:spacing w:after="0" w:line="240" w:lineRule="auto"/>
        <w:ind w:left="4678"/>
        <w:contextualSpacing/>
        <w:rPr>
          <w:rFonts w:eastAsiaTheme="minorHAnsi" w:cstheme="minorBidi"/>
          <w:color w:val="0D0D0D" w:themeColor="text1" w:themeTint="F2"/>
          <w:sz w:val="24"/>
          <w:szCs w:val="24"/>
          <w:lang w:val="en-US"/>
        </w:rPr>
      </w:pPr>
      <w:r w:rsidRPr="0006441E">
        <w:rPr>
          <w:noProof/>
          <w:sz w:val="24"/>
          <w:szCs w:val="24"/>
          <w:lang w:eastAsia="ru-RU"/>
        </w:rPr>
        <w:drawing>
          <wp:anchor distT="0" distB="0" distL="114300" distR="114300" simplePos="0" relativeHeight="251661312" behindDoc="0" locked="0" layoutInCell="1" allowOverlap="1" wp14:anchorId="27CFDA6A" wp14:editId="6BFAE521">
            <wp:simplePos x="0" y="0"/>
            <wp:positionH relativeFrom="margin">
              <wp:posOffset>641985</wp:posOffset>
            </wp:positionH>
            <wp:positionV relativeFrom="paragraph">
              <wp:posOffset>6985</wp:posOffset>
            </wp:positionV>
            <wp:extent cx="1095375" cy="1066562"/>
            <wp:effectExtent l="0" t="0" r="0" b="635"/>
            <wp:wrapNone/>
            <wp:docPr id="12" name="Рисунок 3" descr="Sam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ruk logo"/>
                    <pic:cNvPicPr>
                      <a:picLocks noChangeAspect="1" noChangeArrowheads="1"/>
                    </pic:cNvPicPr>
                  </pic:nvPicPr>
                  <pic:blipFill>
                    <a:blip r:embed="rId8" cstate="print">
                      <a:extLst>
                        <a:ext uri="{28A0092B-C50C-407E-A947-70E740481C1C}">
                          <a14:useLocalDpi xmlns:a14="http://schemas.microsoft.com/office/drawing/2010/main" val="0"/>
                        </a:ext>
                      </a:extLst>
                    </a:blip>
                    <a:srcRect l="12848" r="22063"/>
                    <a:stretch>
                      <a:fillRect/>
                    </a:stretch>
                  </pic:blipFill>
                  <pic:spPr bwMode="auto">
                    <a:xfrm>
                      <a:off x="0" y="0"/>
                      <a:ext cx="1095375" cy="1066562"/>
                    </a:xfrm>
                    <a:prstGeom prst="rect">
                      <a:avLst/>
                    </a:prstGeom>
                    <a:noFill/>
                  </pic:spPr>
                </pic:pic>
              </a:graphicData>
            </a:graphic>
            <wp14:sizeRelH relativeFrom="page">
              <wp14:pctWidth>0</wp14:pctWidth>
            </wp14:sizeRelH>
            <wp14:sizeRelV relativeFrom="page">
              <wp14:pctHeight>0</wp14:pctHeight>
            </wp14:sizeRelV>
          </wp:anchor>
        </w:drawing>
      </w:r>
      <w:r w:rsidR="00991244">
        <w:rPr>
          <w:rFonts w:eastAsiaTheme="minorHAnsi" w:cstheme="minorBidi"/>
          <w:color w:val="0D0D0D" w:themeColor="text1" w:themeTint="F2"/>
          <w:sz w:val="24"/>
          <w:szCs w:val="24"/>
          <w:lang w:val="en-US"/>
        </w:rPr>
        <w:t xml:space="preserve">Approved </w:t>
      </w:r>
    </w:p>
    <w:p w14:paraId="53DC1F34" w14:textId="756E6022" w:rsidR="004C7416" w:rsidRDefault="00991244" w:rsidP="0006441E">
      <w:pPr>
        <w:tabs>
          <w:tab w:val="left" w:pos="5812"/>
        </w:tabs>
        <w:spacing w:after="0" w:line="240" w:lineRule="auto"/>
        <w:ind w:left="4678"/>
        <w:contextualSpacing/>
        <w:rPr>
          <w:rFonts w:eastAsiaTheme="minorHAnsi" w:cstheme="minorBidi"/>
          <w:color w:val="0D0D0D" w:themeColor="text1" w:themeTint="F2"/>
          <w:sz w:val="24"/>
          <w:szCs w:val="24"/>
          <w:lang w:val="en-US"/>
        </w:rPr>
      </w:pPr>
      <w:r>
        <w:rPr>
          <w:rFonts w:eastAsiaTheme="minorHAnsi" w:cstheme="minorBidi"/>
          <w:color w:val="0D0D0D" w:themeColor="text1" w:themeTint="F2"/>
          <w:sz w:val="24"/>
          <w:szCs w:val="24"/>
          <w:lang w:val="en-US"/>
        </w:rPr>
        <w:t xml:space="preserve">by </w:t>
      </w:r>
      <w:r w:rsidR="004C7416">
        <w:rPr>
          <w:rFonts w:eastAsiaTheme="minorHAnsi" w:cstheme="minorBidi"/>
          <w:color w:val="0D0D0D" w:themeColor="text1" w:themeTint="F2"/>
          <w:sz w:val="24"/>
          <w:szCs w:val="24"/>
          <w:lang w:val="en-US"/>
        </w:rPr>
        <w:t xml:space="preserve">the resolution of “Samruk-Energy” JSC </w:t>
      </w:r>
    </w:p>
    <w:p w14:paraId="03342992" w14:textId="55E6C9A8" w:rsidR="00F70C66" w:rsidRPr="004C7416" w:rsidRDefault="004C7416" w:rsidP="0006441E">
      <w:pPr>
        <w:tabs>
          <w:tab w:val="left" w:pos="5812"/>
        </w:tabs>
        <w:spacing w:after="0" w:line="240" w:lineRule="auto"/>
        <w:ind w:left="4678"/>
        <w:contextualSpacing/>
        <w:rPr>
          <w:sz w:val="24"/>
          <w:szCs w:val="24"/>
          <w:lang w:val="en-US" w:eastAsia="ru-RU"/>
        </w:rPr>
      </w:pPr>
      <w:r>
        <w:rPr>
          <w:rFonts w:eastAsiaTheme="minorHAnsi" w:cstheme="minorBidi"/>
          <w:color w:val="0D0D0D" w:themeColor="text1" w:themeTint="F2"/>
          <w:sz w:val="24"/>
          <w:szCs w:val="24"/>
          <w:lang w:val="en-US"/>
        </w:rPr>
        <w:t xml:space="preserve">Board of Directors </w:t>
      </w:r>
      <w:r w:rsidR="00F70C66" w:rsidRPr="004C7416">
        <w:rPr>
          <w:rFonts w:eastAsiaTheme="minorHAnsi" w:cstheme="minorBidi"/>
          <w:color w:val="0D0D0D" w:themeColor="text1" w:themeTint="F2"/>
          <w:sz w:val="24"/>
          <w:szCs w:val="24"/>
          <w:lang w:val="en-US"/>
        </w:rPr>
        <w:t xml:space="preserve"> </w:t>
      </w:r>
    </w:p>
    <w:p w14:paraId="032B84C2" w14:textId="7E2DBF7F" w:rsidR="00F70C66" w:rsidRPr="004C7416" w:rsidRDefault="004C7416" w:rsidP="0006441E">
      <w:pPr>
        <w:tabs>
          <w:tab w:val="left" w:pos="5812"/>
        </w:tabs>
        <w:spacing w:after="0" w:line="240" w:lineRule="auto"/>
        <w:ind w:left="4678"/>
        <w:contextualSpacing/>
        <w:rPr>
          <w:sz w:val="24"/>
          <w:szCs w:val="24"/>
          <w:lang w:val="en-US" w:eastAsia="ru-RU"/>
        </w:rPr>
      </w:pPr>
      <w:r>
        <w:rPr>
          <w:sz w:val="24"/>
          <w:szCs w:val="24"/>
          <w:lang w:val="en-US" w:eastAsia="ru-RU"/>
        </w:rPr>
        <w:t>dated</w:t>
      </w:r>
      <w:r w:rsidR="00F70C66" w:rsidRPr="004C7416">
        <w:rPr>
          <w:sz w:val="24"/>
          <w:szCs w:val="24"/>
          <w:lang w:val="en-US" w:eastAsia="ru-RU"/>
        </w:rPr>
        <w:t xml:space="preserve"> </w:t>
      </w:r>
      <w:r>
        <w:rPr>
          <w:sz w:val="24"/>
          <w:szCs w:val="24"/>
          <w:lang w:val="en-US" w:eastAsia="ru-RU"/>
        </w:rPr>
        <w:t>“</w:t>
      </w:r>
      <w:r w:rsidR="001952D1">
        <w:rPr>
          <w:sz w:val="24"/>
          <w:szCs w:val="24"/>
          <w:lang w:val="en-US" w:eastAsia="ru-RU"/>
        </w:rPr>
        <w:t>18</w:t>
      </w:r>
      <w:r>
        <w:rPr>
          <w:sz w:val="24"/>
          <w:szCs w:val="24"/>
          <w:lang w:val="en-US" w:eastAsia="ru-RU"/>
        </w:rPr>
        <w:t>”</w:t>
      </w:r>
      <w:r w:rsidR="00F70C66" w:rsidRPr="004C7416">
        <w:rPr>
          <w:sz w:val="24"/>
          <w:szCs w:val="24"/>
          <w:lang w:val="en-US" w:eastAsia="ru-RU"/>
        </w:rPr>
        <w:t xml:space="preserve"> </w:t>
      </w:r>
      <w:r w:rsidR="00CD252D" w:rsidRPr="004C7416">
        <w:rPr>
          <w:sz w:val="24"/>
          <w:szCs w:val="24"/>
          <w:lang w:val="en-US" w:eastAsia="ru-RU"/>
        </w:rPr>
        <w:t xml:space="preserve"> </w:t>
      </w:r>
      <w:r w:rsidR="00F469B3">
        <w:rPr>
          <w:sz w:val="24"/>
          <w:szCs w:val="24"/>
          <w:lang w:val="en-US" w:eastAsia="ru-RU"/>
        </w:rPr>
        <w:t>N</w:t>
      </w:r>
      <w:r w:rsidR="001952D1" w:rsidRPr="001952D1">
        <w:rPr>
          <w:sz w:val="24"/>
          <w:szCs w:val="24"/>
          <w:lang w:val="en-US" w:eastAsia="ru-RU"/>
        </w:rPr>
        <w:t xml:space="preserve">ovember </w:t>
      </w:r>
      <w:r w:rsidR="00CD252D" w:rsidRPr="004C7416">
        <w:rPr>
          <w:sz w:val="24"/>
          <w:szCs w:val="24"/>
          <w:lang w:val="en-US" w:eastAsia="ru-RU"/>
        </w:rPr>
        <w:t>202</w:t>
      </w:r>
      <w:r w:rsidR="00074D54" w:rsidRPr="004C7416">
        <w:rPr>
          <w:sz w:val="24"/>
          <w:szCs w:val="24"/>
          <w:lang w:val="en-US" w:eastAsia="ru-RU"/>
        </w:rPr>
        <w:t>4</w:t>
      </w:r>
      <w:r w:rsidR="00CD252D" w:rsidRPr="004C7416">
        <w:rPr>
          <w:sz w:val="24"/>
          <w:szCs w:val="24"/>
          <w:lang w:val="en-US" w:eastAsia="ru-RU"/>
        </w:rPr>
        <w:t xml:space="preserve"> </w:t>
      </w:r>
    </w:p>
    <w:p w14:paraId="3790BB3B" w14:textId="5FAC032E" w:rsidR="00F70C66" w:rsidRPr="00496AB3" w:rsidRDefault="006F648C" w:rsidP="0006441E">
      <w:pPr>
        <w:shd w:val="clear" w:color="auto" w:fill="FFFFFF"/>
        <w:spacing w:after="0" w:line="240" w:lineRule="auto"/>
        <w:ind w:left="4678"/>
        <w:jc w:val="both"/>
        <w:rPr>
          <w:sz w:val="24"/>
          <w:szCs w:val="24"/>
          <w:lang w:val="en-US" w:eastAsia="ru-RU"/>
        </w:rPr>
      </w:pPr>
      <w:r w:rsidRPr="004C7416">
        <w:rPr>
          <w:sz w:val="24"/>
          <w:szCs w:val="24"/>
          <w:lang w:val="en-US" w:eastAsia="ru-RU"/>
        </w:rPr>
        <w:t>(</w:t>
      </w:r>
      <w:r w:rsidR="004C7416">
        <w:rPr>
          <w:sz w:val="24"/>
          <w:szCs w:val="24"/>
          <w:lang w:val="en-US" w:eastAsia="ru-RU"/>
        </w:rPr>
        <w:t>Minutes No.</w:t>
      </w:r>
      <w:r w:rsidR="00F70C66" w:rsidRPr="004C7416">
        <w:rPr>
          <w:sz w:val="24"/>
          <w:szCs w:val="24"/>
          <w:lang w:val="en-US" w:eastAsia="ru-RU"/>
        </w:rPr>
        <w:t xml:space="preserve"> </w:t>
      </w:r>
      <w:r w:rsidR="001952D1">
        <w:rPr>
          <w:sz w:val="24"/>
          <w:szCs w:val="24"/>
          <w:lang w:val="en-US" w:eastAsia="ru-RU"/>
        </w:rPr>
        <w:t>16/24</w:t>
      </w:r>
      <w:r w:rsidRPr="00496AB3">
        <w:rPr>
          <w:sz w:val="24"/>
          <w:szCs w:val="24"/>
          <w:lang w:val="en-US" w:eastAsia="ru-RU"/>
        </w:rPr>
        <w:t>)</w:t>
      </w:r>
    </w:p>
    <w:p w14:paraId="466B8C1D" w14:textId="77777777" w:rsidR="00FB6583" w:rsidRPr="00496AB3" w:rsidRDefault="00FB6583" w:rsidP="009E60F1">
      <w:pPr>
        <w:tabs>
          <w:tab w:val="left" w:pos="0"/>
        </w:tabs>
        <w:spacing w:after="0" w:line="240" w:lineRule="auto"/>
        <w:ind w:left="709" w:firstLine="5387"/>
        <w:rPr>
          <w:sz w:val="28"/>
          <w:szCs w:val="28"/>
          <w:lang w:val="en-US"/>
        </w:rPr>
      </w:pPr>
    </w:p>
    <w:p w14:paraId="26EB03E3" w14:textId="77777777" w:rsidR="00D1571C" w:rsidRPr="00991244" w:rsidRDefault="00D1571C" w:rsidP="009E60F1">
      <w:pPr>
        <w:spacing w:after="0" w:line="240" w:lineRule="auto"/>
        <w:jc w:val="center"/>
        <w:rPr>
          <w:b/>
          <w:bCs/>
          <w:sz w:val="28"/>
          <w:szCs w:val="28"/>
          <w:lang w:val="en-US"/>
        </w:rPr>
      </w:pPr>
    </w:p>
    <w:p w14:paraId="2100DCA8" w14:textId="77777777" w:rsidR="00D1571C" w:rsidRPr="00496AB3" w:rsidRDefault="00D1571C" w:rsidP="009E60F1">
      <w:pPr>
        <w:spacing w:after="0" w:line="240" w:lineRule="auto"/>
        <w:jc w:val="center"/>
        <w:rPr>
          <w:b/>
          <w:bCs/>
          <w:sz w:val="28"/>
          <w:szCs w:val="28"/>
          <w:lang w:val="en-US"/>
        </w:rPr>
      </w:pPr>
    </w:p>
    <w:p w14:paraId="391DCD8F" w14:textId="77777777" w:rsidR="00D1571C" w:rsidRPr="00496AB3" w:rsidRDefault="00D1571C" w:rsidP="009E60F1">
      <w:pPr>
        <w:tabs>
          <w:tab w:val="left" w:pos="0"/>
        </w:tabs>
        <w:spacing w:after="0" w:line="240" w:lineRule="auto"/>
        <w:jc w:val="center"/>
        <w:rPr>
          <w:sz w:val="28"/>
          <w:szCs w:val="28"/>
          <w:lang w:val="en-US"/>
        </w:rPr>
      </w:pPr>
    </w:p>
    <w:p w14:paraId="4763A716" w14:textId="77777777" w:rsidR="006F648C" w:rsidRPr="00496AB3" w:rsidRDefault="006F648C" w:rsidP="009E60F1">
      <w:pPr>
        <w:tabs>
          <w:tab w:val="left" w:pos="0"/>
        </w:tabs>
        <w:spacing w:after="0" w:line="240" w:lineRule="auto"/>
        <w:jc w:val="center"/>
        <w:rPr>
          <w:sz w:val="28"/>
          <w:szCs w:val="28"/>
          <w:lang w:val="en-US"/>
        </w:rPr>
      </w:pPr>
    </w:p>
    <w:p w14:paraId="550DE36A" w14:textId="77777777" w:rsidR="006F648C" w:rsidRPr="00496AB3" w:rsidRDefault="006F648C" w:rsidP="009E60F1">
      <w:pPr>
        <w:tabs>
          <w:tab w:val="left" w:pos="0"/>
        </w:tabs>
        <w:spacing w:after="0" w:line="240" w:lineRule="auto"/>
        <w:jc w:val="center"/>
        <w:rPr>
          <w:sz w:val="28"/>
          <w:szCs w:val="28"/>
          <w:lang w:val="en-US"/>
        </w:rPr>
      </w:pPr>
    </w:p>
    <w:p w14:paraId="10DA2CFB" w14:textId="77777777" w:rsidR="006F648C" w:rsidRPr="00496AB3" w:rsidRDefault="006F648C" w:rsidP="009E60F1">
      <w:pPr>
        <w:tabs>
          <w:tab w:val="left" w:pos="0"/>
        </w:tabs>
        <w:spacing w:after="0" w:line="240" w:lineRule="auto"/>
        <w:jc w:val="center"/>
        <w:rPr>
          <w:sz w:val="28"/>
          <w:szCs w:val="28"/>
          <w:lang w:val="en-US"/>
        </w:rPr>
      </w:pPr>
    </w:p>
    <w:p w14:paraId="1CFC5A00" w14:textId="77777777" w:rsidR="006F648C" w:rsidRPr="00496AB3" w:rsidRDefault="006F648C" w:rsidP="009E60F1">
      <w:pPr>
        <w:tabs>
          <w:tab w:val="left" w:pos="0"/>
        </w:tabs>
        <w:spacing w:after="0" w:line="240" w:lineRule="auto"/>
        <w:jc w:val="center"/>
        <w:rPr>
          <w:sz w:val="28"/>
          <w:szCs w:val="28"/>
          <w:lang w:val="en-US"/>
        </w:rPr>
      </w:pPr>
    </w:p>
    <w:p w14:paraId="18156A0D" w14:textId="77777777" w:rsidR="006F648C" w:rsidRPr="00496AB3" w:rsidRDefault="006F648C" w:rsidP="009E60F1">
      <w:pPr>
        <w:tabs>
          <w:tab w:val="left" w:pos="0"/>
        </w:tabs>
        <w:spacing w:after="0" w:line="240" w:lineRule="auto"/>
        <w:jc w:val="center"/>
        <w:rPr>
          <w:sz w:val="28"/>
          <w:szCs w:val="28"/>
          <w:lang w:val="en-US"/>
        </w:rPr>
      </w:pPr>
    </w:p>
    <w:p w14:paraId="0892231B" w14:textId="77777777" w:rsidR="006F648C" w:rsidRPr="00496AB3" w:rsidRDefault="006F648C" w:rsidP="009E60F1">
      <w:pPr>
        <w:tabs>
          <w:tab w:val="left" w:pos="0"/>
        </w:tabs>
        <w:spacing w:after="0" w:line="240" w:lineRule="auto"/>
        <w:jc w:val="center"/>
        <w:rPr>
          <w:sz w:val="28"/>
          <w:szCs w:val="28"/>
          <w:lang w:val="en-US"/>
        </w:rPr>
      </w:pPr>
    </w:p>
    <w:p w14:paraId="695986FE" w14:textId="77777777" w:rsidR="006F648C" w:rsidRPr="00496AB3" w:rsidRDefault="006F648C" w:rsidP="009E60F1">
      <w:pPr>
        <w:tabs>
          <w:tab w:val="left" w:pos="0"/>
        </w:tabs>
        <w:spacing w:after="0" w:line="240" w:lineRule="auto"/>
        <w:jc w:val="center"/>
        <w:rPr>
          <w:sz w:val="28"/>
          <w:szCs w:val="28"/>
          <w:lang w:val="en-US"/>
        </w:rPr>
      </w:pPr>
    </w:p>
    <w:p w14:paraId="2A9CA35A" w14:textId="77777777" w:rsidR="00D1571C" w:rsidRPr="00496AB3" w:rsidRDefault="00D1571C" w:rsidP="009E60F1">
      <w:pPr>
        <w:tabs>
          <w:tab w:val="left" w:pos="1086"/>
          <w:tab w:val="left" w:pos="1134"/>
        </w:tabs>
        <w:spacing w:after="0" w:line="240" w:lineRule="auto"/>
        <w:jc w:val="center"/>
        <w:rPr>
          <w:sz w:val="28"/>
          <w:szCs w:val="28"/>
          <w:lang w:val="en-US"/>
        </w:rPr>
      </w:pPr>
    </w:p>
    <w:p w14:paraId="12FA703F" w14:textId="6CD820C3" w:rsidR="00414E2E" w:rsidRDefault="004C7416" w:rsidP="009E60F1">
      <w:pPr>
        <w:spacing w:after="0" w:line="240" w:lineRule="auto"/>
        <w:jc w:val="center"/>
        <w:rPr>
          <w:b/>
          <w:kern w:val="36"/>
          <w:sz w:val="40"/>
          <w:szCs w:val="40"/>
          <w:lang w:val="en-US"/>
        </w:rPr>
      </w:pPr>
      <w:r>
        <w:rPr>
          <w:b/>
          <w:kern w:val="36"/>
          <w:sz w:val="40"/>
          <w:szCs w:val="40"/>
          <w:lang w:val="en-US"/>
        </w:rPr>
        <w:t xml:space="preserve">“Samruk-Energy” JSC </w:t>
      </w:r>
    </w:p>
    <w:p w14:paraId="3A6DD7C5" w14:textId="631F4DF2" w:rsidR="004C7416" w:rsidRPr="004C7416" w:rsidRDefault="004C7416" w:rsidP="009E60F1">
      <w:pPr>
        <w:spacing w:after="0" w:line="240" w:lineRule="auto"/>
        <w:jc w:val="center"/>
        <w:rPr>
          <w:b/>
          <w:kern w:val="36"/>
          <w:sz w:val="40"/>
          <w:szCs w:val="40"/>
          <w:lang w:val="en-US"/>
        </w:rPr>
      </w:pPr>
      <w:r>
        <w:rPr>
          <w:b/>
          <w:kern w:val="36"/>
          <w:sz w:val="40"/>
          <w:szCs w:val="40"/>
          <w:lang w:val="en-US"/>
        </w:rPr>
        <w:t xml:space="preserve">Energy Transition Program </w:t>
      </w:r>
    </w:p>
    <w:p w14:paraId="2CB0DA95" w14:textId="7B5EE098" w:rsidR="00D1571C" w:rsidRPr="00CE4401" w:rsidRDefault="004C7416" w:rsidP="009E60F1">
      <w:pPr>
        <w:spacing w:after="0" w:line="240" w:lineRule="auto"/>
        <w:jc w:val="center"/>
        <w:rPr>
          <w:b/>
          <w:kern w:val="36"/>
          <w:sz w:val="28"/>
          <w:szCs w:val="28"/>
        </w:rPr>
      </w:pPr>
      <w:r>
        <w:rPr>
          <w:b/>
          <w:kern w:val="36"/>
          <w:sz w:val="40"/>
          <w:szCs w:val="40"/>
          <w:lang w:val="en-US"/>
        </w:rPr>
        <w:t xml:space="preserve">until </w:t>
      </w:r>
      <w:r w:rsidR="00414E2E" w:rsidRPr="00612E9E">
        <w:rPr>
          <w:b/>
          <w:kern w:val="36"/>
          <w:sz w:val="40"/>
          <w:szCs w:val="40"/>
        </w:rPr>
        <w:t xml:space="preserve">2060 </w:t>
      </w:r>
    </w:p>
    <w:p w14:paraId="17BE5ABA" w14:textId="41F653B8" w:rsidR="00D1571C" w:rsidRPr="00BC0393" w:rsidRDefault="00BC0393" w:rsidP="009E60F1">
      <w:pPr>
        <w:tabs>
          <w:tab w:val="left" w:pos="1086"/>
          <w:tab w:val="left" w:pos="1134"/>
        </w:tabs>
        <w:spacing w:after="0" w:line="240" w:lineRule="auto"/>
        <w:jc w:val="center"/>
        <w:rPr>
          <w:b/>
          <w:sz w:val="40"/>
          <w:szCs w:val="40"/>
          <w:lang w:val="en-US"/>
        </w:rPr>
      </w:pPr>
      <w:r>
        <w:rPr>
          <w:b/>
          <w:sz w:val="40"/>
          <w:szCs w:val="40"/>
          <w:lang w:val="en-US"/>
        </w:rPr>
        <w:t>Public version</w:t>
      </w:r>
    </w:p>
    <w:p w14:paraId="7CAB47D1" w14:textId="77777777" w:rsidR="00D1571C" w:rsidRPr="00CE4401" w:rsidRDefault="00D1571C" w:rsidP="009E60F1">
      <w:pPr>
        <w:spacing w:after="0" w:line="240" w:lineRule="auto"/>
        <w:jc w:val="center"/>
        <w:rPr>
          <w:b/>
          <w:bCs/>
          <w:sz w:val="28"/>
          <w:szCs w:val="28"/>
        </w:rPr>
      </w:pPr>
    </w:p>
    <w:p w14:paraId="51EF0A3F" w14:textId="77777777" w:rsidR="00D1571C" w:rsidRPr="00CE4401" w:rsidRDefault="00D1571C" w:rsidP="009E60F1">
      <w:pPr>
        <w:spacing w:after="0" w:line="240" w:lineRule="auto"/>
        <w:jc w:val="center"/>
        <w:rPr>
          <w:b/>
          <w:bCs/>
          <w:sz w:val="28"/>
          <w:szCs w:val="28"/>
        </w:rPr>
      </w:pPr>
    </w:p>
    <w:p w14:paraId="5A68ED53" w14:textId="77777777" w:rsidR="00D1571C" w:rsidRPr="00CE4401" w:rsidRDefault="00D1571C" w:rsidP="009E60F1">
      <w:pPr>
        <w:spacing w:after="0" w:line="240" w:lineRule="auto"/>
        <w:jc w:val="center"/>
        <w:rPr>
          <w:b/>
          <w:bCs/>
          <w:sz w:val="28"/>
          <w:szCs w:val="28"/>
        </w:rPr>
      </w:pPr>
    </w:p>
    <w:p w14:paraId="06656C36" w14:textId="77777777" w:rsidR="00D1571C" w:rsidRPr="00CE4401" w:rsidRDefault="00D1571C" w:rsidP="009E60F1">
      <w:pPr>
        <w:pStyle w:val="a3"/>
        <w:spacing w:before="0" w:beforeAutospacing="0" w:after="0" w:afterAutospacing="0"/>
        <w:jc w:val="center"/>
        <w:rPr>
          <w:sz w:val="28"/>
          <w:szCs w:val="28"/>
        </w:rPr>
      </w:pPr>
    </w:p>
    <w:p w14:paraId="7BF50C09" w14:textId="77777777" w:rsidR="00D1571C" w:rsidRPr="00CE4401" w:rsidRDefault="00D1571C" w:rsidP="009E60F1">
      <w:pPr>
        <w:pStyle w:val="a3"/>
        <w:spacing w:before="0" w:beforeAutospacing="0" w:after="0" w:afterAutospacing="0"/>
        <w:jc w:val="center"/>
        <w:rPr>
          <w:sz w:val="28"/>
          <w:szCs w:val="28"/>
        </w:rPr>
      </w:pPr>
    </w:p>
    <w:p w14:paraId="02DBACDC" w14:textId="77777777" w:rsidR="00D1571C" w:rsidRPr="00CE4401" w:rsidRDefault="00D1571C" w:rsidP="009E60F1">
      <w:pPr>
        <w:pStyle w:val="a3"/>
        <w:spacing w:before="0" w:beforeAutospacing="0" w:after="0" w:afterAutospacing="0"/>
        <w:jc w:val="center"/>
        <w:rPr>
          <w:sz w:val="28"/>
          <w:szCs w:val="28"/>
        </w:rPr>
      </w:pPr>
    </w:p>
    <w:p w14:paraId="40832380" w14:textId="77777777" w:rsidR="00D1571C" w:rsidRPr="00CE4401" w:rsidRDefault="00D1571C" w:rsidP="009E60F1">
      <w:pPr>
        <w:pStyle w:val="a3"/>
        <w:spacing w:before="0" w:beforeAutospacing="0" w:after="0" w:afterAutospacing="0"/>
        <w:jc w:val="center"/>
        <w:rPr>
          <w:sz w:val="28"/>
          <w:szCs w:val="28"/>
        </w:rPr>
      </w:pPr>
    </w:p>
    <w:p w14:paraId="01F5CC75" w14:textId="77777777" w:rsidR="00D1571C" w:rsidRDefault="00D1571C" w:rsidP="009E60F1">
      <w:pPr>
        <w:pStyle w:val="a3"/>
        <w:spacing w:before="0" w:beforeAutospacing="0" w:after="0" w:afterAutospacing="0"/>
        <w:jc w:val="center"/>
        <w:rPr>
          <w:sz w:val="28"/>
          <w:szCs w:val="28"/>
        </w:rPr>
      </w:pPr>
    </w:p>
    <w:p w14:paraId="4DB15EA6" w14:textId="77777777" w:rsidR="00D1571C" w:rsidRPr="00CE4401" w:rsidRDefault="00D1571C" w:rsidP="009E60F1">
      <w:pPr>
        <w:pStyle w:val="a3"/>
        <w:spacing w:before="0" w:beforeAutospacing="0" w:after="0" w:afterAutospacing="0"/>
        <w:jc w:val="center"/>
        <w:rPr>
          <w:sz w:val="28"/>
          <w:szCs w:val="28"/>
        </w:rPr>
      </w:pPr>
    </w:p>
    <w:p w14:paraId="2888DE59" w14:textId="77777777" w:rsidR="00D1571C" w:rsidRPr="00CE4401" w:rsidRDefault="00D1571C" w:rsidP="009E60F1">
      <w:pPr>
        <w:pStyle w:val="a3"/>
        <w:spacing w:before="0" w:beforeAutospacing="0" w:after="0" w:afterAutospacing="0"/>
        <w:jc w:val="center"/>
        <w:rPr>
          <w:sz w:val="28"/>
          <w:szCs w:val="28"/>
        </w:rPr>
      </w:pPr>
    </w:p>
    <w:p w14:paraId="25C6D739" w14:textId="77777777" w:rsidR="00D1571C" w:rsidRDefault="00D1571C" w:rsidP="009E60F1">
      <w:pPr>
        <w:pStyle w:val="a3"/>
        <w:spacing w:before="0" w:beforeAutospacing="0" w:after="0" w:afterAutospacing="0"/>
        <w:jc w:val="center"/>
        <w:rPr>
          <w:sz w:val="28"/>
          <w:szCs w:val="28"/>
        </w:rPr>
      </w:pPr>
    </w:p>
    <w:p w14:paraId="583B65D8" w14:textId="77777777" w:rsidR="00AC7462" w:rsidRPr="00CE4401" w:rsidRDefault="00AC7462" w:rsidP="009E60F1">
      <w:pPr>
        <w:pStyle w:val="a3"/>
        <w:spacing w:before="0" w:beforeAutospacing="0" w:after="0" w:afterAutospacing="0"/>
        <w:jc w:val="center"/>
        <w:rPr>
          <w:sz w:val="28"/>
          <w:szCs w:val="28"/>
        </w:rPr>
      </w:pPr>
    </w:p>
    <w:p w14:paraId="79BEFBE3" w14:textId="77777777" w:rsidR="00D1571C" w:rsidRPr="00CE4401" w:rsidRDefault="00D1571C" w:rsidP="009E60F1">
      <w:pPr>
        <w:pStyle w:val="a3"/>
        <w:spacing w:before="0" w:beforeAutospacing="0" w:after="0" w:afterAutospacing="0"/>
        <w:jc w:val="center"/>
        <w:rPr>
          <w:sz w:val="28"/>
          <w:szCs w:val="28"/>
        </w:rPr>
      </w:pPr>
    </w:p>
    <w:tbl>
      <w:tblPr>
        <w:tblStyle w:val="13"/>
        <w:tblW w:w="0" w:type="auto"/>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1701"/>
        <w:gridCol w:w="3969"/>
      </w:tblGrid>
      <w:tr w:rsidR="00AC7462" w:rsidRPr="00000B35" w14:paraId="0F3DF42D" w14:textId="77777777" w:rsidTr="00AC7462">
        <w:trPr>
          <w:trHeight w:val="223"/>
        </w:trPr>
        <w:tc>
          <w:tcPr>
            <w:tcW w:w="1701" w:type="dxa"/>
            <w:tcBorders>
              <w:top w:val="single" w:sz="4" w:space="0" w:color="FFFFFF"/>
              <w:bottom w:val="single" w:sz="4" w:space="0" w:color="FFFFFF"/>
              <w:right w:val="single" w:sz="4" w:space="0" w:color="17365D"/>
            </w:tcBorders>
            <w:shd w:val="clear" w:color="auto" w:fill="17365D"/>
          </w:tcPr>
          <w:p w14:paraId="2ED22D4D" w14:textId="462978AD" w:rsidR="00AC7462" w:rsidRPr="004C7416" w:rsidRDefault="004C7416" w:rsidP="009E60F1">
            <w:pPr>
              <w:tabs>
                <w:tab w:val="left" w:pos="993"/>
              </w:tabs>
              <w:spacing w:after="0" w:line="240" w:lineRule="auto"/>
              <w:contextualSpacing/>
              <w:rPr>
                <w:b/>
                <w:bCs/>
                <w:color w:val="FFFFFF"/>
                <w:lang w:val="en-US"/>
              </w:rPr>
            </w:pPr>
            <w:r>
              <w:rPr>
                <w:b/>
                <w:bCs/>
                <w:color w:val="FFFFFF"/>
                <w:lang w:val="en-US"/>
              </w:rPr>
              <w:t>Document owner</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5020A3EF" w14:textId="17D27F40" w:rsidR="00AC7462" w:rsidRPr="004C7416" w:rsidRDefault="00074D54" w:rsidP="009E60F1">
            <w:pPr>
              <w:tabs>
                <w:tab w:val="left" w:pos="993"/>
              </w:tabs>
              <w:spacing w:after="0" w:line="240" w:lineRule="auto"/>
              <w:contextualSpacing/>
              <w:rPr>
                <w:bCs/>
                <w:color w:val="000000"/>
                <w:lang w:val="en-US"/>
              </w:rPr>
            </w:pPr>
            <w:r>
              <w:rPr>
                <w:bCs/>
                <w:color w:val="000000"/>
                <w:lang w:val="en-US"/>
              </w:rPr>
              <w:t>GR</w:t>
            </w:r>
            <w:r w:rsidRPr="004C7416">
              <w:rPr>
                <w:bCs/>
                <w:color w:val="000000"/>
                <w:lang w:val="en-US"/>
              </w:rPr>
              <w:t xml:space="preserve"> </w:t>
            </w:r>
            <w:r w:rsidR="004C7416">
              <w:rPr>
                <w:bCs/>
                <w:color w:val="000000"/>
                <w:lang w:val="en-US"/>
              </w:rPr>
              <w:t xml:space="preserve">and Legislative Initiatives Department </w:t>
            </w:r>
            <w:r w:rsidRPr="004C7416">
              <w:rPr>
                <w:bCs/>
                <w:color w:val="000000"/>
                <w:lang w:val="en-US"/>
              </w:rPr>
              <w:t xml:space="preserve"> </w:t>
            </w:r>
          </w:p>
        </w:tc>
      </w:tr>
      <w:tr w:rsidR="00AC7462" w:rsidRPr="00AC7462" w14:paraId="206ED602" w14:textId="77777777" w:rsidTr="00AC7462">
        <w:trPr>
          <w:trHeight w:val="285"/>
        </w:trPr>
        <w:tc>
          <w:tcPr>
            <w:tcW w:w="1701" w:type="dxa"/>
            <w:tcBorders>
              <w:top w:val="single" w:sz="4" w:space="0" w:color="FFFFFF"/>
              <w:bottom w:val="single" w:sz="4" w:space="0" w:color="FFFFFF"/>
              <w:right w:val="single" w:sz="4" w:space="0" w:color="17365D"/>
            </w:tcBorders>
            <w:shd w:val="clear" w:color="auto" w:fill="17365D"/>
          </w:tcPr>
          <w:p w14:paraId="56CD087C" w14:textId="36270896" w:rsidR="00AC7462" w:rsidRPr="004C7416" w:rsidRDefault="004C7416" w:rsidP="009E60F1">
            <w:pPr>
              <w:tabs>
                <w:tab w:val="left" w:pos="993"/>
              </w:tabs>
              <w:spacing w:after="0" w:line="240" w:lineRule="auto"/>
              <w:contextualSpacing/>
              <w:rPr>
                <w:b/>
                <w:bCs/>
                <w:color w:val="FFFFFF"/>
                <w:lang w:val="en-US"/>
              </w:rPr>
            </w:pPr>
            <w:r>
              <w:rPr>
                <w:b/>
                <w:bCs/>
                <w:color w:val="FFFFFF"/>
                <w:lang w:val="en-US"/>
              </w:rPr>
              <w:t>Edition 2</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12CB6859" w14:textId="77777777" w:rsidR="00AC7462" w:rsidRPr="00AC7462" w:rsidRDefault="00074D54" w:rsidP="009E60F1">
            <w:pPr>
              <w:tabs>
                <w:tab w:val="left" w:pos="993"/>
              </w:tabs>
              <w:spacing w:after="0" w:line="240" w:lineRule="auto"/>
              <w:contextualSpacing/>
              <w:rPr>
                <w:bCs/>
                <w:color w:val="000000"/>
              </w:rPr>
            </w:pPr>
            <w:r>
              <w:rPr>
                <w:bCs/>
                <w:color w:val="000000"/>
              </w:rPr>
              <w:t>2</w:t>
            </w:r>
          </w:p>
        </w:tc>
      </w:tr>
      <w:tr w:rsidR="00AC7462" w:rsidRPr="00AC7462" w14:paraId="668F97FF" w14:textId="77777777" w:rsidTr="00AC7462">
        <w:trPr>
          <w:trHeight w:val="275"/>
        </w:trPr>
        <w:tc>
          <w:tcPr>
            <w:tcW w:w="1701" w:type="dxa"/>
            <w:tcBorders>
              <w:top w:val="single" w:sz="4" w:space="0" w:color="FFFFFF"/>
              <w:bottom w:val="single" w:sz="4" w:space="0" w:color="FFFFFF"/>
              <w:right w:val="single" w:sz="4" w:space="0" w:color="17365D"/>
            </w:tcBorders>
            <w:shd w:val="clear" w:color="auto" w:fill="17365D"/>
          </w:tcPr>
          <w:p w14:paraId="5714BCA1" w14:textId="01DEA0C6" w:rsidR="00AC7462" w:rsidRPr="004C7416" w:rsidRDefault="004C7416" w:rsidP="009E60F1">
            <w:pPr>
              <w:tabs>
                <w:tab w:val="left" w:pos="993"/>
              </w:tabs>
              <w:spacing w:after="0" w:line="240" w:lineRule="auto"/>
              <w:contextualSpacing/>
              <w:rPr>
                <w:b/>
                <w:bCs/>
                <w:color w:val="FFFFFF"/>
                <w:lang w:val="en-US"/>
              </w:rPr>
            </w:pPr>
            <w:r>
              <w:rPr>
                <w:b/>
                <w:bCs/>
                <w:color w:val="FFFFFF"/>
                <w:lang w:val="en-US"/>
              </w:rPr>
              <w:t>Year</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51954547" w14:textId="77777777" w:rsidR="00AC7462" w:rsidRPr="00AC7462" w:rsidRDefault="00074D54" w:rsidP="009E60F1">
            <w:pPr>
              <w:tabs>
                <w:tab w:val="left" w:pos="993"/>
              </w:tabs>
              <w:spacing w:after="0" w:line="240" w:lineRule="auto"/>
              <w:contextualSpacing/>
              <w:rPr>
                <w:bCs/>
                <w:color w:val="000000"/>
              </w:rPr>
            </w:pPr>
            <w:r>
              <w:rPr>
                <w:bCs/>
                <w:color w:val="000000"/>
              </w:rPr>
              <w:t>2024</w:t>
            </w:r>
          </w:p>
        </w:tc>
      </w:tr>
    </w:tbl>
    <w:p w14:paraId="2DC6FE5C" w14:textId="77777777" w:rsidR="00D1571C" w:rsidRPr="00CE4401" w:rsidRDefault="00D1571C" w:rsidP="009E60F1">
      <w:pPr>
        <w:pStyle w:val="a3"/>
        <w:spacing w:before="0" w:beforeAutospacing="0" w:after="0" w:afterAutospacing="0"/>
        <w:jc w:val="center"/>
        <w:rPr>
          <w:sz w:val="28"/>
          <w:szCs w:val="28"/>
        </w:rPr>
      </w:pPr>
    </w:p>
    <w:p w14:paraId="4618D867" w14:textId="77777777" w:rsidR="008D14F1" w:rsidRDefault="008D14F1" w:rsidP="009E60F1">
      <w:pPr>
        <w:pStyle w:val="a3"/>
        <w:spacing w:before="0" w:beforeAutospacing="0" w:after="0" w:afterAutospacing="0"/>
        <w:jc w:val="center"/>
        <w:rPr>
          <w:sz w:val="28"/>
          <w:szCs w:val="28"/>
        </w:rPr>
      </w:pPr>
    </w:p>
    <w:p w14:paraId="4232BE1C" w14:textId="77777777" w:rsidR="00074D54" w:rsidRDefault="00074D54" w:rsidP="009E60F1">
      <w:pPr>
        <w:pStyle w:val="a3"/>
        <w:spacing w:before="0" w:beforeAutospacing="0" w:after="0" w:afterAutospacing="0"/>
        <w:jc w:val="center"/>
        <w:rPr>
          <w:sz w:val="28"/>
          <w:szCs w:val="28"/>
        </w:rPr>
      </w:pPr>
    </w:p>
    <w:p w14:paraId="2FB41815" w14:textId="77777777" w:rsidR="00074D54" w:rsidRDefault="00074D54" w:rsidP="009E60F1">
      <w:pPr>
        <w:pStyle w:val="a3"/>
        <w:spacing w:before="0" w:beforeAutospacing="0" w:after="0" w:afterAutospacing="0"/>
        <w:jc w:val="center"/>
        <w:rPr>
          <w:sz w:val="28"/>
          <w:szCs w:val="28"/>
        </w:rPr>
      </w:pPr>
    </w:p>
    <w:p w14:paraId="2B0CA44A" w14:textId="77777777" w:rsidR="00074D54" w:rsidRDefault="00074D54" w:rsidP="009E60F1">
      <w:pPr>
        <w:pStyle w:val="a3"/>
        <w:spacing w:before="0" w:beforeAutospacing="0" w:after="0" w:afterAutospacing="0"/>
        <w:jc w:val="center"/>
        <w:rPr>
          <w:sz w:val="28"/>
          <w:szCs w:val="28"/>
        </w:rPr>
      </w:pPr>
    </w:p>
    <w:p w14:paraId="1F076960" w14:textId="77777777" w:rsidR="00074D54" w:rsidRPr="00CE4401" w:rsidRDefault="00074D54" w:rsidP="009E60F1">
      <w:pPr>
        <w:pStyle w:val="a3"/>
        <w:spacing w:before="0" w:beforeAutospacing="0" w:after="0" w:afterAutospacing="0"/>
        <w:jc w:val="center"/>
        <w:rPr>
          <w:sz w:val="28"/>
          <w:szCs w:val="28"/>
        </w:rPr>
      </w:pPr>
    </w:p>
    <w:p w14:paraId="7A624E14" w14:textId="76DF557B" w:rsidR="00AC7462" w:rsidRDefault="00AC7462" w:rsidP="009E60F1">
      <w:pPr>
        <w:spacing w:after="0" w:line="240" w:lineRule="auto"/>
        <w:jc w:val="center"/>
        <w:rPr>
          <w:b/>
          <w:sz w:val="28"/>
          <w:szCs w:val="28"/>
          <w:lang w:eastAsia="ru-RU"/>
        </w:rPr>
      </w:pPr>
      <w:r>
        <w:rPr>
          <w:b/>
          <w:sz w:val="28"/>
          <w:szCs w:val="28"/>
        </w:rPr>
        <w:t xml:space="preserve"> </w:t>
      </w:r>
      <w:r w:rsidR="004C7416">
        <w:rPr>
          <w:b/>
          <w:sz w:val="28"/>
          <w:szCs w:val="28"/>
          <w:lang w:val="en-US"/>
        </w:rPr>
        <w:t>Astana c.</w:t>
      </w:r>
      <w:r>
        <w:rPr>
          <w:b/>
          <w:sz w:val="28"/>
          <w:szCs w:val="28"/>
          <w:lang w:eastAsia="ru-RU"/>
        </w:rPr>
        <w:br w:type="page"/>
      </w:r>
    </w:p>
    <w:p w14:paraId="4138A16B" w14:textId="4CF18854" w:rsidR="008745BC" w:rsidRPr="00867314" w:rsidRDefault="008745BC" w:rsidP="00886CC0">
      <w:pPr>
        <w:tabs>
          <w:tab w:val="left" w:pos="426"/>
        </w:tabs>
        <w:spacing w:after="0" w:line="240" w:lineRule="auto"/>
        <w:contextualSpacing/>
        <w:jc w:val="both"/>
        <w:rPr>
          <w:bCs/>
          <w:noProof/>
          <w:sz w:val="24"/>
          <w:szCs w:val="24"/>
        </w:rPr>
      </w:pPr>
    </w:p>
    <w:p w14:paraId="349557D8" w14:textId="77777777" w:rsidR="008745BC" w:rsidRPr="00867314" w:rsidRDefault="008745BC" w:rsidP="009E60F1">
      <w:pPr>
        <w:spacing w:after="0" w:line="240" w:lineRule="auto"/>
        <w:jc w:val="center"/>
        <w:rPr>
          <w:bCs/>
          <w:noProof/>
          <w:sz w:val="24"/>
          <w:szCs w:val="24"/>
        </w:rPr>
      </w:pPr>
    </w:p>
    <w:p w14:paraId="62677D2A" w14:textId="77777777" w:rsidR="00F13CDC" w:rsidRPr="00F13CDC" w:rsidRDefault="00F13CDC" w:rsidP="00F13CDC">
      <w:pPr>
        <w:widowControl w:val="0"/>
        <w:spacing w:after="0" w:line="240" w:lineRule="auto"/>
        <w:ind w:left="113" w:firstLine="708"/>
        <w:jc w:val="center"/>
        <w:rPr>
          <w:rFonts w:cstheme="minorBidi"/>
          <w:b/>
          <w:sz w:val="24"/>
          <w:szCs w:val="28"/>
          <w:lang w:val="en-US" w:eastAsia="ru-RU"/>
        </w:rPr>
      </w:pPr>
      <w:r w:rsidRPr="00F13CDC">
        <w:rPr>
          <w:rFonts w:cstheme="minorBidi"/>
          <w:b/>
          <w:sz w:val="24"/>
          <w:szCs w:val="28"/>
          <w:lang w:val="en-US" w:eastAsia="ru-RU"/>
        </w:rPr>
        <w:t>Contents</w:t>
      </w:r>
    </w:p>
    <w:p w14:paraId="3739ABFE" w14:textId="77777777" w:rsidR="00F13CDC" w:rsidRPr="00F13CDC" w:rsidRDefault="00F13CDC"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r w:rsidRPr="00F13CDC">
        <w:rPr>
          <w:bCs/>
          <w:noProof/>
          <w:sz w:val="24"/>
          <w:szCs w:val="24"/>
        </w:rPr>
        <w:fldChar w:fldCharType="begin"/>
      </w:r>
      <w:r w:rsidRPr="00F13CDC">
        <w:rPr>
          <w:bCs/>
          <w:noProof/>
          <w:sz w:val="24"/>
          <w:szCs w:val="24"/>
        </w:rPr>
        <w:instrText xml:space="preserve"> TOC \o "1-3" \h \z \u </w:instrText>
      </w:r>
      <w:r w:rsidRPr="00F13CDC">
        <w:rPr>
          <w:bCs/>
          <w:noProof/>
          <w:sz w:val="24"/>
          <w:szCs w:val="24"/>
        </w:rPr>
        <w:fldChar w:fldCharType="separate"/>
      </w:r>
      <w:hyperlink w:anchor="_Toc178512509" w:history="1">
        <w:r w:rsidRPr="00F13CDC">
          <w:rPr>
            <w:noProof/>
            <w:sz w:val="24"/>
            <w:szCs w:val="24"/>
            <w:lang w:eastAsia="ru-RU"/>
          </w:rPr>
          <w:t>1.</w:t>
        </w:r>
        <w:r w:rsidRPr="00F13CDC">
          <w:rPr>
            <w:rFonts w:asciiTheme="minorHAnsi" w:eastAsiaTheme="minorEastAsia" w:hAnsiTheme="minorHAnsi" w:cstheme="minorBidi"/>
            <w:noProof/>
            <w:sz w:val="24"/>
            <w:szCs w:val="24"/>
            <w:lang w:eastAsia="ru-RU"/>
          </w:rPr>
          <w:tab/>
        </w:r>
        <w:r w:rsidRPr="00F13CDC">
          <w:rPr>
            <w:noProof/>
            <w:sz w:val="24"/>
            <w:szCs w:val="24"/>
            <w:lang w:val="en-US" w:eastAsia="ru-RU"/>
          </w:rPr>
          <w:t>Terms and definitions</w:t>
        </w:r>
        <w:r w:rsidRPr="00F13CDC">
          <w:rPr>
            <w:noProof/>
            <w:webHidden/>
            <w:sz w:val="24"/>
            <w:szCs w:val="24"/>
          </w:rPr>
          <w:tab/>
        </w:r>
        <w:r w:rsidRPr="00F13CDC">
          <w:rPr>
            <w:noProof/>
            <w:webHidden/>
            <w:sz w:val="24"/>
            <w:szCs w:val="24"/>
          </w:rPr>
          <w:fldChar w:fldCharType="begin"/>
        </w:r>
        <w:r w:rsidRPr="00F13CDC">
          <w:rPr>
            <w:noProof/>
            <w:webHidden/>
            <w:sz w:val="24"/>
            <w:szCs w:val="24"/>
          </w:rPr>
          <w:instrText xml:space="preserve"> PAGEREF _Toc178512509 \h </w:instrText>
        </w:r>
        <w:r w:rsidRPr="00F13CDC">
          <w:rPr>
            <w:noProof/>
            <w:webHidden/>
            <w:sz w:val="24"/>
            <w:szCs w:val="24"/>
          </w:rPr>
        </w:r>
        <w:r w:rsidRPr="00F13CDC">
          <w:rPr>
            <w:noProof/>
            <w:webHidden/>
            <w:sz w:val="24"/>
            <w:szCs w:val="24"/>
          </w:rPr>
          <w:fldChar w:fldCharType="separate"/>
        </w:r>
        <w:r w:rsidRPr="00F13CDC">
          <w:rPr>
            <w:noProof/>
            <w:webHidden/>
            <w:sz w:val="24"/>
            <w:szCs w:val="24"/>
          </w:rPr>
          <w:t>3</w:t>
        </w:r>
        <w:r w:rsidRPr="00F13CDC">
          <w:rPr>
            <w:noProof/>
            <w:webHidden/>
            <w:sz w:val="24"/>
            <w:szCs w:val="24"/>
          </w:rPr>
          <w:fldChar w:fldCharType="end"/>
        </w:r>
      </w:hyperlink>
    </w:p>
    <w:p w14:paraId="3A881327" w14:textId="77777777"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0" w:history="1">
        <w:r w:rsidR="00F13CDC" w:rsidRPr="00F13CDC">
          <w:rPr>
            <w:noProof/>
            <w:sz w:val="24"/>
            <w:szCs w:val="24"/>
            <w:lang w:eastAsia="ru-RU"/>
          </w:rPr>
          <w:t>2.</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eastAsia="ru-RU"/>
          </w:rPr>
          <w:t>Introduction</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_Toc178512510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4</w:t>
        </w:r>
        <w:r w:rsidR="00F13CDC" w:rsidRPr="00F13CDC">
          <w:rPr>
            <w:noProof/>
            <w:webHidden/>
            <w:sz w:val="24"/>
            <w:szCs w:val="24"/>
          </w:rPr>
          <w:fldChar w:fldCharType="end"/>
        </w:r>
      </w:hyperlink>
    </w:p>
    <w:p w14:paraId="11539DE1" w14:textId="319674FF"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1" w:history="1">
        <w:r w:rsidR="00F13CDC" w:rsidRPr="00F13CDC">
          <w:rPr>
            <w:noProof/>
            <w:spacing w:val="2"/>
            <w:sz w:val="24"/>
            <w:szCs w:val="24"/>
          </w:rPr>
          <w:t>2.1.</w:t>
        </w:r>
        <w:r w:rsidR="00F13CDC" w:rsidRPr="00F13CDC">
          <w:rPr>
            <w:rFonts w:asciiTheme="minorHAnsi" w:eastAsiaTheme="minorEastAsia" w:hAnsiTheme="minorHAnsi" w:cstheme="minorBidi"/>
            <w:noProof/>
            <w:sz w:val="24"/>
            <w:szCs w:val="24"/>
            <w:lang w:eastAsia="ru-RU"/>
          </w:rPr>
          <w:tab/>
        </w:r>
        <w:r w:rsidR="00F13CDC" w:rsidRPr="00F13CDC">
          <w:rPr>
            <w:rFonts w:eastAsiaTheme="minorEastAsia"/>
            <w:noProof/>
            <w:sz w:val="24"/>
            <w:szCs w:val="24"/>
            <w:lang w:val="en-US" w:eastAsia="ru-RU"/>
          </w:rPr>
          <w:t>“Samruk-Energy” JSC and decarbonization</w:t>
        </w:r>
        <w:r w:rsidR="00F13CDC" w:rsidRPr="00F13CDC">
          <w:rPr>
            <w:noProof/>
            <w:sz w:val="24"/>
            <w:szCs w:val="24"/>
          </w:rPr>
          <w:t xml:space="preserve">: </w:t>
        </w:r>
        <w:r w:rsidR="00F13CDC" w:rsidRPr="00F13CDC">
          <w:rPr>
            <w:noProof/>
            <w:sz w:val="24"/>
            <w:szCs w:val="24"/>
            <w:lang w:val="en-US"/>
          </w:rPr>
          <w:t>global context and local initiatives</w:t>
        </w:r>
        <w:r w:rsidR="00F13CDC" w:rsidRPr="00F13CDC">
          <w:rPr>
            <w:noProof/>
            <w:webHidden/>
            <w:sz w:val="24"/>
            <w:szCs w:val="24"/>
          </w:rPr>
          <w:tab/>
        </w:r>
        <w:r w:rsidR="00954725">
          <w:rPr>
            <w:noProof/>
            <w:webHidden/>
            <w:sz w:val="24"/>
            <w:szCs w:val="24"/>
          </w:rPr>
          <w:t>5</w:t>
        </w:r>
      </w:hyperlink>
    </w:p>
    <w:p w14:paraId="4FDC8AFE" w14:textId="4FB748F6"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2" w:history="1">
        <w:r w:rsidR="00F13CDC" w:rsidRPr="00F13CDC">
          <w:rPr>
            <w:noProof/>
            <w:spacing w:val="2"/>
            <w:sz w:val="24"/>
            <w:szCs w:val="24"/>
            <w:lang w:eastAsia="ru-RU"/>
          </w:rPr>
          <w:t>3.</w:t>
        </w:r>
        <w:r w:rsidR="00F13CDC" w:rsidRPr="00F13CDC">
          <w:rPr>
            <w:rFonts w:asciiTheme="minorHAnsi" w:eastAsiaTheme="minorEastAsia" w:hAnsiTheme="minorHAnsi" w:cstheme="minorBidi"/>
            <w:noProof/>
            <w:sz w:val="24"/>
            <w:szCs w:val="24"/>
            <w:lang w:eastAsia="ru-RU"/>
          </w:rPr>
          <w:tab/>
        </w:r>
        <w:r w:rsidR="00F13CDC" w:rsidRPr="00F13CDC">
          <w:rPr>
            <w:noProof/>
            <w:spacing w:val="2"/>
            <w:sz w:val="24"/>
            <w:szCs w:val="24"/>
            <w:lang w:val="en-US" w:eastAsia="ru-RU"/>
          </w:rPr>
          <w:t xml:space="preserve">Area of operations and carbon footprint of the Company </w:t>
        </w:r>
        <w:r w:rsidR="00F13CDC" w:rsidRPr="00F13CDC">
          <w:rPr>
            <w:noProof/>
            <w:webHidden/>
            <w:sz w:val="24"/>
            <w:szCs w:val="24"/>
          </w:rPr>
          <w:tab/>
        </w:r>
      </w:hyperlink>
      <w:r w:rsidR="00954725">
        <w:rPr>
          <w:noProof/>
          <w:sz w:val="24"/>
          <w:szCs w:val="24"/>
        </w:rPr>
        <w:t>8</w:t>
      </w:r>
    </w:p>
    <w:p w14:paraId="5ACD0C56" w14:textId="77777777"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3" w:history="1">
        <w:r w:rsidR="00F13CDC" w:rsidRPr="00F13CDC">
          <w:rPr>
            <w:noProof/>
            <w:sz w:val="24"/>
            <w:szCs w:val="24"/>
          </w:rPr>
          <w:t>4.</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Program scenarios</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_Toc178512513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10</w:t>
        </w:r>
        <w:r w:rsidR="00F13CDC" w:rsidRPr="00F13CDC">
          <w:rPr>
            <w:noProof/>
            <w:webHidden/>
            <w:sz w:val="24"/>
            <w:szCs w:val="24"/>
          </w:rPr>
          <w:fldChar w:fldCharType="end"/>
        </w:r>
      </w:hyperlink>
    </w:p>
    <w:p w14:paraId="075F25D3" w14:textId="3F4D6B61"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4" w:history="1">
        <w:r w:rsidR="00F13CDC" w:rsidRPr="00F13CDC">
          <w:rPr>
            <w:noProof/>
            <w:sz w:val="24"/>
            <w:szCs w:val="24"/>
          </w:rPr>
          <w:t>4.1.</w:t>
        </w:r>
        <w:r w:rsidR="00F13CDC" w:rsidRPr="00F13CDC">
          <w:rPr>
            <w:rFonts w:asciiTheme="minorHAnsi" w:eastAsiaTheme="minorEastAsia" w:hAnsiTheme="minorHAnsi" w:cstheme="minorBidi"/>
            <w:noProof/>
            <w:sz w:val="24"/>
            <w:szCs w:val="24"/>
            <w:lang w:eastAsia="ru-RU"/>
          </w:rPr>
          <w:tab/>
        </w:r>
        <w:r w:rsidR="00F13CDC" w:rsidRPr="00954725">
          <w:rPr>
            <w:noProof/>
            <w:sz w:val="24"/>
            <w:szCs w:val="24"/>
            <w:lang w:val="en-US"/>
          </w:rPr>
          <w:t>Defining the Program's directions and target indicators</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_Toc178512514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w:t>
        </w:r>
        <w:r w:rsidR="00F13CDC" w:rsidRPr="00F13CDC">
          <w:rPr>
            <w:noProof/>
            <w:webHidden/>
            <w:sz w:val="24"/>
            <w:szCs w:val="24"/>
          </w:rPr>
          <w:fldChar w:fldCharType="end"/>
        </w:r>
      </w:hyperlink>
      <w:r w:rsidR="00954725">
        <w:rPr>
          <w:noProof/>
          <w:sz w:val="24"/>
          <w:szCs w:val="24"/>
        </w:rPr>
        <w:t>0</w:t>
      </w:r>
    </w:p>
    <w:p w14:paraId="683AB650" w14:textId="32F60809"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5" w:history="1">
        <w:r w:rsidR="00F13CDC" w:rsidRPr="00F13CDC">
          <w:rPr>
            <w:noProof/>
            <w:sz w:val="24"/>
            <w:szCs w:val="24"/>
          </w:rPr>
          <w:t>4.2.</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rPr>
          <w:t>Business as usual</w:t>
        </w:r>
        <w:r w:rsidR="00F13CDC" w:rsidRPr="00F13CDC">
          <w:rPr>
            <w:noProof/>
            <w:sz w:val="24"/>
            <w:szCs w:val="24"/>
            <w:lang w:val="en-US"/>
          </w:rPr>
          <w:t xml:space="preserve"> scenario</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_Toc178512515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w:t>
        </w:r>
        <w:r w:rsidR="00F13CDC" w:rsidRPr="00F13CDC">
          <w:rPr>
            <w:noProof/>
            <w:webHidden/>
            <w:sz w:val="24"/>
            <w:szCs w:val="24"/>
          </w:rPr>
          <w:fldChar w:fldCharType="end"/>
        </w:r>
      </w:hyperlink>
      <w:r w:rsidR="00954725">
        <w:rPr>
          <w:noProof/>
          <w:sz w:val="24"/>
          <w:szCs w:val="24"/>
        </w:rPr>
        <w:t>6</w:t>
      </w:r>
    </w:p>
    <w:p w14:paraId="2F7110C7" w14:textId="2AC8A85F"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6" w:history="1">
        <w:r w:rsidR="00F13CDC" w:rsidRPr="00F13CDC">
          <w:rPr>
            <w:noProof/>
            <w:sz w:val="24"/>
            <w:szCs w:val="24"/>
          </w:rPr>
          <w:t>4.3.</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Decarbonization scenario</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_Toc178512516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w:t>
        </w:r>
        <w:r w:rsidR="00F13CDC" w:rsidRPr="00F13CDC">
          <w:rPr>
            <w:noProof/>
            <w:webHidden/>
            <w:sz w:val="24"/>
            <w:szCs w:val="24"/>
          </w:rPr>
          <w:fldChar w:fldCharType="end"/>
        </w:r>
      </w:hyperlink>
      <w:r w:rsidR="00954725">
        <w:rPr>
          <w:noProof/>
          <w:sz w:val="24"/>
          <w:szCs w:val="24"/>
        </w:rPr>
        <w:t>6</w:t>
      </w:r>
    </w:p>
    <w:p w14:paraId="1F9D637C" w14:textId="08B00393"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7" w:history="1">
        <w:r w:rsidR="00F13CDC" w:rsidRPr="00F13CDC">
          <w:rPr>
            <w:noProof/>
            <w:sz w:val="24"/>
            <w:szCs w:val="24"/>
          </w:rPr>
          <w:t>4.4.</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Deep decarbonization scenario</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_Toc178512517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w:t>
        </w:r>
        <w:r w:rsidR="00F13CDC" w:rsidRPr="00F13CDC">
          <w:rPr>
            <w:noProof/>
            <w:webHidden/>
            <w:sz w:val="24"/>
            <w:szCs w:val="24"/>
          </w:rPr>
          <w:fldChar w:fldCharType="end"/>
        </w:r>
      </w:hyperlink>
      <w:r w:rsidR="00954725">
        <w:rPr>
          <w:noProof/>
          <w:sz w:val="24"/>
          <w:szCs w:val="24"/>
        </w:rPr>
        <w:t>7</w:t>
      </w:r>
    </w:p>
    <w:p w14:paraId="73FE4092" w14:textId="20F6A939"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8" w:history="1">
        <w:r w:rsidR="00F13CDC" w:rsidRPr="00F13CDC">
          <w:rPr>
            <w:noProof/>
            <w:sz w:val="24"/>
            <w:szCs w:val="24"/>
          </w:rPr>
          <w:t>5.</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Funding sources</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_Toc178512518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1</w:t>
        </w:r>
        <w:r w:rsidR="00F13CDC" w:rsidRPr="00F13CDC">
          <w:rPr>
            <w:noProof/>
            <w:webHidden/>
            <w:sz w:val="24"/>
            <w:szCs w:val="24"/>
          </w:rPr>
          <w:fldChar w:fldCharType="end"/>
        </w:r>
      </w:hyperlink>
      <w:r w:rsidR="00954725">
        <w:rPr>
          <w:noProof/>
          <w:sz w:val="24"/>
          <w:szCs w:val="24"/>
        </w:rPr>
        <w:t>8</w:t>
      </w:r>
    </w:p>
    <w:p w14:paraId="7C00078A" w14:textId="0860E2AB"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19" w:history="1">
        <w:r w:rsidR="00F13CDC" w:rsidRPr="00F13CDC">
          <w:rPr>
            <w:noProof/>
            <w:sz w:val="24"/>
            <w:szCs w:val="24"/>
            <w:lang w:eastAsia="ru-RU"/>
          </w:rPr>
          <w:t>6.</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eastAsia="ru-RU"/>
          </w:rPr>
          <w:t xml:space="preserve">Assesment of climate risks </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_Toc178512519 \h </w:instrText>
        </w:r>
        <w:r w:rsidR="00F13CDC" w:rsidRPr="00F13CDC">
          <w:rPr>
            <w:noProof/>
            <w:webHidden/>
            <w:sz w:val="24"/>
            <w:szCs w:val="24"/>
          </w:rPr>
        </w:r>
        <w:r w:rsidR="00F13CDC" w:rsidRPr="00F13CDC">
          <w:rPr>
            <w:noProof/>
            <w:webHidden/>
            <w:sz w:val="24"/>
            <w:szCs w:val="24"/>
          </w:rPr>
          <w:fldChar w:fldCharType="end"/>
        </w:r>
      </w:hyperlink>
      <w:r w:rsidR="00954725">
        <w:rPr>
          <w:noProof/>
          <w:sz w:val="24"/>
          <w:szCs w:val="24"/>
        </w:rPr>
        <w:t>18</w:t>
      </w:r>
    </w:p>
    <w:p w14:paraId="282E258E" w14:textId="6AF55272"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20" w:history="1">
        <w:r w:rsidR="00F13CDC" w:rsidRPr="00F13CDC">
          <w:rPr>
            <w:bCs/>
            <w:noProof/>
            <w:spacing w:val="-4"/>
            <w:sz w:val="24"/>
            <w:szCs w:val="24"/>
            <w:lang w:eastAsia="ru-RU"/>
          </w:rPr>
          <w:t>6.1.</w:t>
        </w:r>
        <w:r w:rsidR="00F13CDC" w:rsidRPr="00F13CDC">
          <w:rPr>
            <w:rFonts w:asciiTheme="minorHAnsi" w:eastAsiaTheme="minorEastAsia" w:hAnsiTheme="minorHAnsi" w:cstheme="minorBidi"/>
            <w:noProof/>
            <w:sz w:val="24"/>
            <w:szCs w:val="24"/>
            <w:lang w:eastAsia="ru-RU"/>
          </w:rPr>
          <w:tab/>
        </w:r>
        <w:r w:rsidR="00F13CDC" w:rsidRPr="00F13CDC">
          <w:rPr>
            <w:bCs/>
            <w:noProof/>
            <w:spacing w:val="-4"/>
            <w:sz w:val="24"/>
            <w:szCs w:val="24"/>
            <w:lang w:val="en-US" w:eastAsia="ru-RU"/>
          </w:rPr>
          <w:t xml:space="preserve">General information </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_Toc178512520 \h </w:instrText>
        </w:r>
        <w:r w:rsidR="00F13CDC" w:rsidRPr="00F13CDC">
          <w:rPr>
            <w:noProof/>
            <w:webHidden/>
            <w:sz w:val="24"/>
            <w:szCs w:val="24"/>
          </w:rPr>
        </w:r>
        <w:r w:rsidR="00F13CDC" w:rsidRPr="00F13CDC">
          <w:rPr>
            <w:noProof/>
            <w:webHidden/>
            <w:sz w:val="24"/>
            <w:szCs w:val="24"/>
          </w:rPr>
          <w:fldChar w:fldCharType="end"/>
        </w:r>
      </w:hyperlink>
      <w:r w:rsidR="00954725">
        <w:rPr>
          <w:noProof/>
          <w:sz w:val="24"/>
          <w:szCs w:val="24"/>
        </w:rPr>
        <w:t>18</w:t>
      </w:r>
    </w:p>
    <w:p w14:paraId="0D638C22" w14:textId="6E68EA0F"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21" w:history="1">
        <w:r w:rsidR="00F13CDC" w:rsidRPr="00F13CDC">
          <w:rPr>
            <w:noProof/>
            <w:sz w:val="24"/>
            <w:szCs w:val="24"/>
          </w:rPr>
          <w:t>6.2.</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 xml:space="preserve">Physical climate risks </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_Toc178512521 \h </w:instrText>
        </w:r>
        <w:r w:rsidR="00F13CDC" w:rsidRPr="00F13CDC">
          <w:rPr>
            <w:noProof/>
            <w:webHidden/>
            <w:sz w:val="24"/>
            <w:szCs w:val="24"/>
          </w:rPr>
        </w:r>
        <w:r w:rsidR="00F13CDC" w:rsidRPr="00F13CDC">
          <w:rPr>
            <w:noProof/>
            <w:webHidden/>
            <w:sz w:val="24"/>
            <w:szCs w:val="24"/>
          </w:rPr>
          <w:fldChar w:fldCharType="end"/>
        </w:r>
      </w:hyperlink>
      <w:r w:rsidR="00954725">
        <w:rPr>
          <w:noProof/>
          <w:sz w:val="24"/>
          <w:szCs w:val="24"/>
        </w:rPr>
        <w:t>19</w:t>
      </w:r>
    </w:p>
    <w:p w14:paraId="3F03BC22" w14:textId="30018B7E"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22" w:history="1">
        <w:r w:rsidR="00F13CDC" w:rsidRPr="00F13CDC">
          <w:rPr>
            <w:noProof/>
            <w:sz w:val="24"/>
            <w:szCs w:val="24"/>
            <w:lang w:eastAsia="ru-RU"/>
          </w:rPr>
          <w:t>6.3.</w:t>
        </w:r>
        <w:r w:rsidR="00F13CDC" w:rsidRPr="00F13CDC">
          <w:rPr>
            <w:rFonts w:asciiTheme="minorHAnsi" w:eastAsiaTheme="minorEastAsia" w:hAnsiTheme="minorHAnsi" w:cstheme="minorBidi"/>
            <w:noProof/>
            <w:sz w:val="24"/>
            <w:szCs w:val="24"/>
            <w:lang w:eastAsia="ru-RU"/>
          </w:rPr>
          <w:tab/>
        </w:r>
        <w:r w:rsidR="00F13CDC" w:rsidRPr="00F13CDC">
          <w:rPr>
            <w:rFonts w:eastAsiaTheme="minorEastAsia"/>
            <w:noProof/>
            <w:sz w:val="24"/>
            <w:szCs w:val="24"/>
            <w:lang w:eastAsia="ru-RU"/>
          </w:rPr>
          <w:t>С</w:t>
        </w:r>
        <w:r w:rsidR="00F13CDC" w:rsidRPr="00F13CDC">
          <w:rPr>
            <w:rFonts w:eastAsiaTheme="minorEastAsia"/>
            <w:noProof/>
            <w:sz w:val="24"/>
            <w:szCs w:val="24"/>
            <w:lang w:val="en-US" w:eastAsia="ru-RU"/>
          </w:rPr>
          <w:t>limate transition</w:t>
        </w:r>
        <w:r w:rsidR="00F13CDC" w:rsidRPr="00F13CDC">
          <w:rPr>
            <w:noProof/>
            <w:sz w:val="24"/>
            <w:szCs w:val="24"/>
            <w:lang w:val="en-US" w:eastAsia="ru-RU"/>
          </w:rPr>
          <w:t xml:space="preserve"> risks </w:t>
        </w:r>
        <w:r w:rsidR="00F13CDC" w:rsidRPr="00F13CDC">
          <w:rPr>
            <w:noProof/>
            <w:webHidden/>
            <w:sz w:val="24"/>
            <w:szCs w:val="24"/>
          </w:rPr>
          <w:tab/>
        </w:r>
        <w:r w:rsidR="00F13CDC" w:rsidRPr="00954725">
          <w:rPr>
            <w:noProof/>
            <w:webHidden/>
            <w:sz w:val="24"/>
            <w:szCs w:val="24"/>
          </w:rPr>
          <w:fldChar w:fldCharType="begin"/>
        </w:r>
        <w:r w:rsidR="00F13CDC" w:rsidRPr="00954725">
          <w:rPr>
            <w:noProof/>
            <w:webHidden/>
            <w:sz w:val="24"/>
            <w:szCs w:val="24"/>
          </w:rPr>
          <w:instrText xml:space="preserve"> PAGEREF _Toc178512522 \h </w:instrText>
        </w:r>
        <w:r w:rsidR="00F13CDC" w:rsidRPr="00954725">
          <w:rPr>
            <w:noProof/>
            <w:webHidden/>
            <w:sz w:val="24"/>
            <w:szCs w:val="24"/>
          </w:rPr>
        </w:r>
        <w:r w:rsidR="00F13CDC" w:rsidRPr="00954725">
          <w:rPr>
            <w:noProof/>
            <w:webHidden/>
            <w:sz w:val="24"/>
            <w:szCs w:val="24"/>
          </w:rPr>
          <w:fldChar w:fldCharType="separate"/>
        </w:r>
        <w:r w:rsidR="00954725" w:rsidRPr="00954725">
          <w:rPr>
            <w:bCs/>
            <w:noProof/>
            <w:webHidden/>
            <w:sz w:val="24"/>
            <w:szCs w:val="24"/>
          </w:rPr>
          <w:t>19</w:t>
        </w:r>
        <w:r w:rsidR="00F13CDC" w:rsidRPr="00954725">
          <w:rPr>
            <w:noProof/>
            <w:webHidden/>
            <w:sz w:val="24"/>
            <w:szCs w:val="24"/>
          </w:rPr>
          <w:fldChar w:fldCharType="end"/>
        </w:r>
      </w:hyperlink>
    </w:p>
    <w:p w14:paraId="0D553EA5" w14:textId="6A825F93" w:rsidR="00F13CDC" w:rsidRPr="00F13CDC" w:rsidRDefault="00000B35" w:rsidP="00F13CDC">
      <w:pPr>
        <w:tabs>
          <w:tab w:val="left" w:pos="440"/>
          <w:tab w:val="right" w:leader="dot" w:pos="10195"/>
        </w:tabs>
        <w:spacing w:after="0" w:line="240" w:lineRule="auto"/>
        <w:rPr>
          <w:rFonts w:asciiTheme="minorHAnsi" w:eastAsiaTheme="minorEastAsia" w:hAnsiTheme="minorHAnsi" w:cstheme="minorBidi"/>
          <w:noProof/>
          <w:sz w:val="24"/>
          <w:szCs w:val="24"/>
          <w:lang w:eastAsia="ru-RU"/>
        </w:rPr>
      </w:pPr>
      <w:hyperlink w:anchor="_Toc178512523" w:history="1">
        <w:r w:rsidR="00F13CDC" w:rsidRPr="00F13CDC">
          <w:rPr>
            <w:noProof/>
            <w:sz w:val="24"/>
            <w:szCs w:val="24"/>
          </w:rPr>
          <w:t>7.</w:t>
        </w:r>
        <w:r w:rsidR="00F13CDC" w:rsidRPr="00F13CDC">
          <w:rPr>
            <w:rFonts w:asciiTheme="minorHAnsi" w:eastAsiaTheme="minorEastAsia" w:hAnsiTheme="minorHAnsi" w:cstheme="minorBidi"/>
            <w:noProof/>
            <w:sz w:val="24"/>
            <w:szCs w:val="24"/>
            <w:lang w:eastAsia="ru-RU"/>
          </w:rPr>
          <w:tab/>
        </w:r>
        <w:r w:rsidR="00F13CDC" w:rsidRPr="00F13CDC">
          <w:rPr>
            <w:noProof/>
            <w:sz w:val="24"/>
            <w:szCs w:val="24"/>
            <w:lang w:val="en-US"/>
          </w:rPr>
          <w:t xml:space="preserve">Regulatory references </w:t>
        </w:r>
        <w:r w:rsidR="00F13CDC" w:rsidRPr="00F13CDC">
          <w:rPr>
            <w:noProof/>
            <w:webHidden/>
            <w:sz w:val="24"/>
            <w:szCs w:val="24"/>
          </w:rPr>
          <w:tab/>
        </w:r>
        <w:r w:rsidR="00F13CDC" w:rsidRPr="00F13CDC">
          <w:rPr>
            <w:noProof/>
            <w:webHidden/>
            <w:sz w:val="24"/>
            <w:szCs w:val="24"/>
          </w:rPr>
          <w:fldChar w:fldCharType="begin"/>
        </w:r>
        <w:r w:rsidR="00F13CDC" w:rsidRPr="00F13CDC">
          <w:rPr>
            <w:noProof/>
            <w:webHidden/>
            <w:sz w:val="24"/>
            <w:szCs w:val="24"/>
          </w:rPr>
          <w:instrText xml:space="preserve"> PAGEREF _Toc178512523 \h </w:instrText>
        </w:r>
        <w:r w:rsidR="00F13CDC" w:rsidRPr="00F13CDC">
          <w:rPr>
            <w:noProof/>
            <w:webHidden/>
            <w:sz w:val="24"/>
            <w:szCs w:val="24"/>
          </w:rPr>
        </w:r>
        <w:r w:rsidR="00F13CDC" w:rsidRPr="00F13CDC">
          <w:rPr>
            <w:noProof/>
            <w:webHidden/>
            <w:sz w:val="24"/>
            <w:szCs w:val="24"/>
          </w:rPr>
          <w:fldChar w:fldCharType="separate"/>
        </w:r>
        <w:r w:rsidR="00F13CDC" w:rsidRPr="00F13CDC">
          <w:rPr>
            <w:noProof/>
            <w:webHidden/>
            <w:sz w:val="24"/>
            <w:szCs w:val="24"/>
          </w:rPr>
          <w:t>2</w:t>
        </w:r>
        <w:r w:rsidR="00F13CDC" w:rsidRPr="00F13CDC">
          <w:rPr>
            <w:noProof/>
            <w:webHidden/>
            <w:sz w:val="24"/>
            <w:szCs w:val="24"/>
          </w:rPr>
          <w:fldChar w:fldCharType="end"/>
        </w:r>
      </w:hyperlink>
      <w:r w:rsidR="00954725">
        <w:rPr>
          <w:noProof/>
          <w:sz w:val="24"/>
          <w:szCs w:val="24"/>
        </w:rPr>
        <w:t>2</w:t>
      </w:r>
    </w:p>
    <w:p w14:paraId="6057C85E" w14:textId="1A50EEB3" w:rsidR="008745BC" w:rsidRPr="00CE4401" w:rsidRDefault="00F13CDC" w:rsidP="00F13CDC">
      <w:pPr>
        <w:spacing w:after="0" w:line="240" w:lineRule="auto"/>
        <w:jc w:val="center"/>
        <w:rPr>
          <w:bCs/>
          <w:noProof/>
          <w:sz w:val="28"/>
          <w:szCs w:val="28"/>
        </w:rPr>
      </w:pPr>
      <w:r w:rsidRPr="00F13CDC">
        <w:rPr>
          <w:bCs/>
          <w:noProof/>
          <w:sz w:val="24"/>
          <w:szCs w:val="24"/>
        </w:rPr>
        <w:fldChar w:fldCharType="end"/>
      </w:r>
    </w:p>
    <w:p w14:paraId="22AEA241" w14:textId="77777777" w:rsidR="00AC7462" w:rsidRDefault="00AC7462" w:rsidP="009E60F1">
      <w:pPr>
        <w:spacing w:after="0" w:line="240" w:lineRule="auto"/>
        <w:jc w:val="center"/>
        <w:rPr>
          <w:bCs/>
          <w:noProof/>
          <w:sz w:val="28"/>
          <w:szCs w:val="28"/>
        </w:rPr>
      </w:pPr>
      <w:bookmarkStart w:id="0" w:name="_GoBack"/>
      <w:bookmarkEnd w:id="0"/>
      <w:r>
        <w:rPr>
          <w:bCs/>
          <w:noProof/>
          <w:sz w:val="28"/>
          <w:szCs w:val="28"/>
        </w:rPr>
        <w:br w:type="page"/>
      </w:r>
    </w:p>
    <w:p w14:paraId="209364DE" w14:textId="7CB2308A" w:rsidR="006E67F1" w:rsidRDefault="009A073B" w:rsidP="009E60F1">
      <w:pPr>
        <w:pStyle w:val="10"/>
        <w:numPr>
          <w:ilvl w:val="0"/>
          <w:numId w:val="1"/>
        </w:numPr>
        <w:tabs>
          <w:tab w:val="left" w:pos="993"/>
        </w:tabs>
        <w:spacing w:before="0" w:line="240" w:lineRule="auto"/>
        <w:ind w:left="0" w:firstLine="709"/>
        <w:jc w:val="center"/>
        <w:rPr>
          <w:b/>
          <w:color w:val="auto"/>
          <w:sz w:val="24"/>
          <w:szCs w:val="24"/>
          <w:lang w:eastAsia="ru-RU"/>
        </w:rPr>
      </w:pPr>
      <w:bookmarkStart w:id="1" w:name="_Toc94620925"/>
      <w:bookmarkStart w:id="2" w:name="_Toc94624757"/>
      <w:bookmarkStart w:id="3" w:name="_Toc94624790"/>
      <w:bookmarkStart w:id="4" w:name="_Toc94626632"/>
      <w:bookmarkStart w:id="5" w:name="_Toc94627047"/>
      <w:bookmarkStart w:id="6" w:name="_Toc190447143"/>
      <w:bookmarkEnd w:id="1"/>
      <w:bookmarkEnd w:id="2"/>
      <w:bookmarkEnd w:id="3"/>
      <w:bookmarkEnd w:id="4"/>
      <w:bookmarkEnd w:id="5"/>
      <w:r>
        <w:rPr>
          <w:b/>
          <w:color w:val="auto"/>
          <w:sz w:val="24"/>
          <w:szCs w:val="24"/>
          <w:lang w:val="en-US" w:eastAsia="ru-RU"/>
        </w:rPr>
        <w:t>Terms and definitions</w:t>
      </w:r>
      <w:bookmarkEnd w:id="6"/>
      <w:r>
        <w:rPr>
          <w:b/>
          <w:color w:val="auto"/>
          <w:sz w:val="24"/>
          <w:szCs w:val="24"/>
          <w:lang w:val="en-US" w:eastAsia="ru-RU"/>
        </w:rPr>
        <w:t xml:space="preserve"> </w:t>
      </w:r>
    </w:p>
    <w:p w14:paraId="5191568A" w14:textId="77777777" w:rsidR="006F648C" w:rsidRPr="006F648C" w:rsidRDefault="006F648C" w:rsidP="009E60F1">
      <w:pPr>
        <w:spacing w:after="0" w:line="240" w:lineRule="auto"/>
        <w:rPr>
          <w:lang w:eastAsia="ru-RU"/>
        </w:rPr>
      </w:pPr>
    </w:p>
    <w:tbl>
      <w:tblPr>
        <w:tblStyle w:val="22"/>
        <w:tblW w:w="1020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2405"/>
        <w:gridCol w:w="7800"/>
      </w:tblGrid>
      <w:tr w:rsidR="00AC7462" w:rsidRPr="00AD3C66" w14:paraId="7A4C4468" w14:textId="77777777" w:rsidTr="00FC4C01">
        <w:trPr>
          <w:trHeight w:val="439"/>
        </w:trPr>
        <w:tc>
          <w:tcPr>
            <w:tcW w:w="2405" w:type="dxa"/>
            <w:tcBorders>
              <w:right w:val="single" w:sz="4" w:space="0" w:color="FFFFFF"/>
            </w:tcBorders>
            <w:shd w:val="clear" w:color="auto" w:fill="17365D"/>
            <w:vAlign w:val="center"/>
          </w:tcPr>
          <w:p w14:paraId="4FB1C752" w14:textId="0D85CEC2" w:rsidR="00AC7462" w:rsidRPr="00AB641B" w:rsidRDefault="00AB641B" w:rsidP="009E60F1">
            <w:pPr>
              <w:spacing w:after="0" w:line="240" w:lineRule="auto"/>
              <w:jc w:val="center"/>
              <w:rPr>
                <w:b/>
                <w:bCs/>
                <w:color w:val="FFFFFF"/>
                <w:lang w:val="en-US"/>
              </w:rPr>
            </w:pPr>
            <w:r>
              <w:rPr>
                <w:b/>
                <w:bCs/>
                <w:color w:val="FFFFFF"/>
                <w:lang w:val="en-US"/>
              </w:rPr>
              <w:t>Terms and abbreviations</w:t>
            </w:r>
          </w:p>
        </w:tc>
        <w:tc>
          <w:tcPr>
            <w:tcW w:w="7800" w:type="dxa"/>
            <w:tcBorders>
              <w:left w:val="single" w:sz="4" w:space="0" w:color="FFFFFF"/>
            </w:tcBorders>
            <w:shd w:val="clear" w:color="auto" w:fill="17365D"/>
            <w:vAlign w:val="center"/>
          </w:tcPr>
          <w:p w14:paraId="723870CC" w14:textId="5F05A5F6" w:rsidR="00AC7462" w:rsidRPr="009A073B" w:rsidRDefault="009A073B" w:rsidP="009E60F1">
            <w:pPr>
              <w:spacing w:after="0" w:line="240" w:lineRule="auto"/>
              <w:jc w:val="center"/>
              <w:rPr>
                <w:b/>
                <w:bCs/>
                <w:color w:val="FFFFFF"/>
                <w:lang w:val="en-US"/>
              </w:rPr>
            </w:pPr>
            <w:r>
              <w:rPr>
                <w:b/>
                <w:bCs/>
                <w:color w:val="FFFFFF"/>
                <w:lang w:val="en-US"/>
              </w:rPr>
              <w:t xml:space="preserve">Definition </w:t>
            </w:r>
          </w:p>
        </w:tc>
      </w:tr>
      <w:tr w:rsidR="00FC4C01" w:rsidRPr="00AD3C66" w14:paraId="000B169B" w14:textId="77777777" w:rsidTr="00FC4C01">
        <w:tc>
          <w:tcPr>
            <w:tcW w:w="2405" w:type="dxa"/>
            <w:vAlign w:val="center"/>
          </w:tcPr>
          <w:p w14:paraId="5AE94530" w14:textId="77777777" w:rsidR="00FC4C01" w:rsidRPr="00CD4DC6" w:rsidRDefault="00FC4C01" w:rsidP="009E60F1">
            <w:pPr>
              <w:spacing w:after="0" w:line="240" w:lineRule="auto"/>
              <w:rPr>
                <w:rFonts w:eastAsia="Arial Unicode MS"/>
                <w:b/>
              </w:rPr>
            </w:pPr>
            <w:r w:rsidRPr="00CD4DC6">
              <w:rPr>
                <w:b/>
              </w:rPr>
              <w:t>CBAM</w:t>
            </w:r>
          </w:p>
        </w:tc>
        <w:tc>
          <w:tcPr>
            <w:tcW w:w="7800" w:type="dxa"/>
            <w:vAlign w:val="center"/>
          </w:tcPr>
          <w:p w14:paraId="42102292" w14:textId="6755F80B" w:rsidR="00FC4C01" w:rsidRPr="00CD4DC6" w:rsidRDefault="00FC4C01" w:rsidP="009E60F1">
            <w:pPr>
              <w:spacing w:after="0" w:line="240" w:lineRule="auto"/>
              <w:jc w:val="both"/>
              <w:rPr>
                <w:rFonts w:eastAsia="Arial Unicode MS"/>
              </w:rPr>
            </w:pPr>
            <w:proofErr w:type="spellStart"/>
            <w:r w:rsidRPr="00CD4DC6">
              <w:t>Carbon</w:t>
            </w:r>
            <w:proofErr w:type="spellEnd"/>
            <w:r w:rsidRPr="00CD4DC6">
              <w:t xml:space="preserve"> </w:t>
            </w:r>
            <w:proofErr w:type="spellStart"/>
            <w:r w:rsidRPr="00CD4DC6">
              <w:t>Border</w:t>
            </w:r>
            <w:proofErr w:type="spellEnd"/>
            <w:r w:rsidRPr="00CD4DC6">
              <w:t xml:space="preserve"> </w:t>
            </w:r>
            <w:proofErr w:type="spellStart"/>
            <w:r w:rsidRPr="00CD4DC6">
              <w:t>Adjustment</w:t>
            </w:r>
            <w:proofErr w:type="spellEnd"/>
            <w:r w:rsidRPr="00CD4DC6">
              <w:t xml:space="preserve"> </w:t>
            </w:r>
            <w:proofErr w:type="spellStart"/>
            <w:r w:rsidRPr="00CD4DC6">
              <w:t>Mechanism</w:t>
            </w:r>
            <w:proofErr w:type="spellEnd"/>
            <w:r w:rsidRPr="00CD4DC6">
              <w:t xml:space="preserve"> </w:t>
            </w:r>
          </w:p>
        </w:tc>
      </w:tr>
      <w:tr w:rsidR="00FC4C01" w:rsidRPr="00E00A7A" w14:paraId="0C02AE4C" w14:textId="77777777" w:rsidTr="00FC4C01">
        <w:trPr>
          <w:trHeight w:val="415"/>
        </w:trPr>
        <w:tc>
          <w:tcPr>
            <w:tcW w:w="2405" w:type="dxa"/>
            <w:vAlign w:val="center"/>
          </w:tcPr>
          <w:p w14:paraId="446EEA70" w14:textId="77777777" w:rsidR="00FC4C01" w:rsidRPr="00CD4DC6" w:rsidRDefault="00FC4C01" w:rsidP="009E60F1">
            <w:pPr>
              <w:spacing w:after="0" w:line="240" w:lineRule="auto"/>
              <w:rPr>
                <w:rFonts w:eastAsia="Arial Unicode MS"/>
                <w:b/>
                <w:lang w:val="en-US"/>
              </w:rPr>
            </w:pPr>
            <w:r w:rsidRPr="00CD4DC6">
              <w:rPr>
                <w:b/>
              </w:rPr>
              <w:t>CC</w:t>
            </w:r>
            <w:r w:rsidRPr="00CD4DC6">
              <w:rPr>
                <w:b/>
                <w:lang w:val="en-US"/>
              </w:rPr>
              <w:t>U</w:t>
            </w:r>
            <w:r w:rsidRPr="00CD4DC6">
              <w:rPr>
                <w:b/>
              </w:rPr>
              <w:t>S</w:t>
            </w:r>
          </w:p>
        </w:tc>
        <w:tc>
          <w:tcPr>
            <w:tcW w:w="7800" w:type="dxa"/>
            <w:vAlign w:val="center"/>
          </w:tcPr>
          <w:p w14:paraId="6E249205" w14:textId="533D473D" w:rsidR="00FC4C01" w:rsidRPr="00CD4DC6" w:rsidRDefault="00FC4C01" w:rsidP="009E60F1">
            <w:pPr>
              <w:spacing w:after="0" w:line="240" w:lineRule="auto"/>
              <w:jc w:val="both"/>
              <w:rPr>
                <w:rFonts w:eastAsia="Arial Unicode MS"/>
              </w:rPr>
            </w:pPr>
            <w:r w:rsidRPr="00CD4DC6">
              <w:rPr>
                <w:lang w:val="en-US"/>
              </w:rPr>
              <w:t>Carbon</w:t>
            </w:r>
            <w:r w:rsidRPr="00CD4DC6">
              <w:t xml:space="preserve"> </w:t>
            </w:r>
            <w:r w:rsidRPr="00CD4DC6">
              <w:rPr>
                <w:lang w:val="en-US"/>
              </w:rPr>
              <w:t>Capture</w:t>
            </w:r>
            <w:r w:rsidRPr="00CD4DC6">
              <w:t xml:space="preserve">, </w:t>
            </w:r>
            <w:r w:rsidRPr="00CD4DC6">
              <w:rPr>
                <w:lang w:val="en-US"/>
              </w:rPr>
              <w:t>Use</w:t>
            </w:r>
            <w:r w:rsidRPr="00CD4DC6">
              <w:t xml:space="preserve"> &amp; </w:t>
            </w:r>
            <w:r w:rsidRPr="00CD4DC6">
              <w:rPr>
                <w:lang w:val="en-US"/>
              </w:rPr>
              <w:t>Storage</w:t>
            </w:r>
          </w:p>
        </w:tc>
      </w:tr>
      <w:tr w:rsidR="00FC4C01" w:rsidRPr="00E00A7A" w14:paraId="28289491" w14:textId="77777777" w:rsidTr="00FC4C01">
        <w:tc>
          <w:tcPr>
            <w:tcW w:w="2405" w:type="dxa"/>
            <w:vAlign w:val="center"/>
          </w:tcPr>
          <w:p w14:paraId="5DE5636A" w14:textId="77777777" w:rsidR="00FC4C01" w:rsidRPr="00CD4DC6" w:rsidRDefault="00FC4C01" w:rsidP="009E60F1">
            <w:pPr>
              <w:spacing w:after="0" w:line="240" w:lineRule="auto"/>
              <w:rPr>
                <w:rFonts w:eastAsia="Arial Unicode MS"/>
                <w:b/>
                <w:lang w:val="en-US"/>
              </w:rPr>
            </w:pPr>
            <w:r w:rsidRPr="00CD4DC6">
              <w:rPr>
                <w:b/>
                <w:lang w:val="en-US"/>
              </w:rPr>
              <w:t>ESG</w:t>
            </w:r>
          </w:p>
        </w:tc>
        <w:tc>
          <w:tcPr>
            <w:tcW w:w="7800" w:type="dxa"/>
            <w:vAlign w:val="center"/>
          </w:tcPr>
          <w:p w14:paraId="4423B020" w14:textId="70E2E086" w:rsidR="00FC4C01" w:rsidRPr="00CD4DC6" w:rsidRDefault="00FC4C01" w:rsidP="009E60F1">
            <w:pPr>
              <w:spacing w:after="0" w:line="240" w:lineRule="auto"/>
              <w:jc w:val="both"/>
              <w:rPr>
                <w:rFonts w:eastAsia="Arial Unicode MS"/>
              </w:rPr>
            </w:pPr>
            <w:r w:rsidRPr="00CD4DC6">
              <w:rPr>
                <w:lang w:val="en-US"/>
              </w:rPr>
              <w:t>Environmental</w:t>
            </w:r>
            <w:r w:rsidRPr="00CD4DC6">
              <w:t xml:space="preserve">, </w:t>
            </w:r>
            <w:r w:rsidRPr="00CD4DC6">
              <w:rPr>
                <w:lang w:val="en-US"/>
              </w:rPr>
              <w:t>Social</w:t>
            </w:r>
            <w:r w:rsidRPr="00CD4DC6">
              <w:t xml:space="preserve"> </w:t>
            </w:r>
            <w:r w:rsidRPr="00CD4DC6">
              <w:rPr>
                <w:lang w:val="en-US"/>
              </w:rPr>
              <w:t>and</w:t>
            </w:r>
            <w:r w:rsidRPr="00CD4DC6">
              <w:t xml:space="preserve"> </w:t>
            </w:r>
            <w:r w:rsidRPr="00CD4DC6">
              <w:rPr>
                <w:lang w:val="en-US"/>
              </w:rPr>
              <w:t>Governance</w:t>
            </w:r>
            <w:r w:rsidRPr="00CD4DC6">
              <w:t xml:space="preserve"> </w:t>
            </w:r>
          </w:p>
        </w:tc>
      </w:tr>
      <w:tr w:rsidR="00FC4C01" w:rsidRPr="00000B35" w14:paraId="713E5C7D" w14:textId="77777777" w:rsidTr="00FC4C01">
        <w:tc>
          <w:tcPr>
            <w:tcW w:w="2405" w:type="dxa"/>
            <w:vAlign w:val="center"/>
          </w:tcPr>
          <w:p w14:paraId="37D84974" w14:textId="6D65A172" w:rsidR="00FC4C01" w:rsidRPr="00AB641B" w:rsidRDefault="00FC4C01" w:rsidP="009E60F1">
            <w:pPr>
              <w:spacing w:after="0" w:line="240" w:lineRule="auto"/>
              <w:rPr>
                <w:rFonts w:eastAsia="Arial Unicode MS"/>
                <w:b/>
                <w:lang w:val="en-US"/>
              </w:rPr>
            </w:pPr>
            <w:r w:rsidRPr="00CD4DC6">
              <w:rPr>
                <w:b/>
                <w:lang w:val="en-US"/>
              </w:rPr>
              <w:t>ESG-</w:t>
            </w:r>
            <w:r w:rsidR="00AB641B">
              <w:rPr>
                <w:b/>
                <w:lang w:val="en-US"/>
              </w:rPr>
              <w:t>Rating</w:t>
            </w:r>
          </w:p>
        </w:tc>
        <w:tc>
          <w:tcPr>
            <w:tcW w:w="7800" w:type="dxa"/>
            <w:vAlign w:val="center"/>
          </w:tcPr>
          <w:p w14:paraId="7F86CB9E" w14:textId="5FD8426F" w:rsidR="00FC4C01" w:rsidRPr="009A073B" w:rsidRDefault="009A073B" w:rsidP="009A073B">
            <w:pPr>
              <w:pStyle w:val="a3"/>
              <w:rPr>
                <w:lang w:val="en-US"/>
              </w:rPr>
            </w:pPr>
            <w:r w:rsidRPr="009A073B">
              <w:rPr>
                <w:lang w:val="en-US"/>
              </w:rPr>
              <w:t>Assessment of the alignment between the company's internal policies and activities with the principles of sustainable development</w:t>
            </w:r>
            <w:r>
              <w:rPr>
                <w:lang w:val="en-US"/>
              </w:rPr>
              <w:t>.</w:t>
            </w:r>
          </w:p>
        </w:tc>
      </w:tr>
      <w:tr w:rsidR="00FC4C01" w:rsidRPr="00000B35" w14:paraId="47172EE3" w14:textId="77777777" w:rsidTr="00FC4C01">
        <w:trPr>
          <w:trHeight w:val="340"/>
        </w:trPr>
        <w:tc>
          <w:tcPr>
            <w:tcW w:w="2405" w:type="dxa"/>
            <w:vAlign w:val="center"/>
          </w:tcPr>
          <w:p w14:paraId="006F1D6D" w14:textId="77777777" w:rsidR="00FC4C01" w:rsidRPr="00354A93" w:rsidRDefault="00FC4C01" w:rsidP="009E60F1">
            <w:pPr>
              <w:spacing w:after="0" w:line="240" w:lineRule="auto"/>
              <w:rPr>
                <w:b/>
                <w:lang w:val="en-US"/>
              </w:rPr>
            </w:pPr>
            <w:r>
              <w:rPr>
                <w:b/>
                <w:lang w:val="en-US"/>
              </w:rPr>
              <w:t>Net Zero Emissions</w:t>
            </w:r>
            <w:r>
              <w:rPr>
                <w:b/>
              </w:rPr>
              <w:t>/</w:t>
            </w:r>
            <w:r>
              <w:rPr>
                <w:b/>
                <w:lang w:val="en-US"/>
              </w:rPr>
              <w:t>NZE</w:t>
            </w:r>
          </w:p>
        </w:tc>
        <w:tc>
          <w:tcPr>
            <w:tcW w:w="7800" w:type="dxa"/>
            <w:vAlign w:val="center"/>
          </w:tcPr>
          <w:p w14:paraId="41C8955F" w14:textId="10D9AA20" w:rsidR="00FC4C01" w:rsidRPr="009A073B" w:rsidRDefault="009A073B" w:rsidP="009A073B">
            <w:pPr>
              <w:pStyle w:val="a3"/>
              <w:rPr>
                <w:lang w:val="en-US"/>
              </w:rPr>
            </w:pPr>
            <w:r w:rsidRPr="009A073B">
              <w:rPr>
                <w:lang w:val="en-US"/>
              </w:rPr>
              <w:t>Net-zero emissions (“net zero”) refer to a state where anthropogenic residual greenhouse gas (GHG) emissions are balanced by anthropogenic absorption. "Net zero" represents one of the scenarios for achieving the Paris Agreement goals, aiming to limit global warming to 1.5°C above pre-industrial levels. The NZE scenario assumes that economically developed countries will achieve net-zero emissions by 2050.</w:t>
            </w:r>
          </w:p>
        </w:tc>
      </w:tr>
      <w:tr w:rsidR="00FC4C01" w:rsidRPr="00000B35" w14:paraId="277382B8" w14:textId="77777777" w:rsidTr="00FC4C01">
        <w:tc>
          <w:tcPr>
            <w:tcW w:w="2405" w:type="dxa"/>
            <w:vAlign w:val="center"/>
          </w:tcPr>
          <w:p w14:paraId="5F6E8372" w14:textId="413B129C" w:rsidR="00FC4C01" w:rsidRPr="009A073B" w:rsidRDefault="00FC4C01" w:rsidP="009E60F1">
            <w:pPr>
              <w:spacing w:after="0" w:line="240" w:lineRule="auto"/>
              <w:rPr>
                <w:rFonts w:eastAsia="Arial Unicode MS"/>
                <w:b/>
                <w:lang w:val="en-US"/>
              </w:rPr>
            </w:pPr>
            <w:r w:rsidRPr="00CD4DC6">
              <w:rPr>
                <w:b/>
              </w:rPr>
              <w:t>SWOT-</w:t>
            </w:r>
            <w:r w:rsidR="009A073B">
              <w:rPr>
                <w:b/>
                <w:lang w:val="en-US"/>
              </w:rPr>
              <w:t xml:space="preserve">analysis </w:t>
            </w:r>
          </w:p>
        </w:tc>
        <w:tc>
          <w:tcPr>
            <w:tcW w:w="7800" w:type="dxa"/>
            <w:vAlign w:val="center"/>
          </w:tcPr>
          <w:p w14:paraId="2DB5831C" w14:textId="14757A50" w:rsidR="00FC4C01" w:rsidRPr="009A073B" w:rsidRDefault="009A073B" w:rsidP="009A073B">
            <w:pPr>
              <w:pStyle w:val="a3"/>
              <w:rPr>
                <w:lang w:val="en-US"/>
              </w:rPr>
            </w:pPr>
            <w:r w:rsidRPr="009A073B">
              <w:rPr>
                <w:lang w:val="en-US"/>
              </w:rPr>
              <w:t>Analysis of the positive and negative impacts of external and internal environmental factors</w:t>
            </w:r>
          </w:p>
        </w:tc>
      </w:tr>
      <w:tr w:rsidR="00FC4C01" w:rsidRPr="00000B35" w14:paraId="64C7BB44" w14:textId="77777777" w:rsidTr="00FC4C01">
        <w:trPr>
          <w:trHeight w:val="340"/>
        </w:trPr>
        <w:tc>
          <w:tcPr>
            <w:tcW w:w="2405" w:type="dxa"/>
            <w:vAlign w:val="center"/>
          </w:tcPr>
          <w:p w14:paraId="156A9381" w14:textId="77777777" w:rsidR="00FC4C01" w:rsidRPr="00FC4C01" w:rsidRDefault="00FC4C01" w:rsidP="009E60F1">
            <w:pPr>
              <w:spacing w:after="0" w:line="240" w:lineRule="auto"/>
              <w:rPr>
                <w:b/>
                <w:lang w:val="en-US"/>
              </w:rPr>
            </w:pPr>
            <w:r w:rsidRPr="00FC4C01">
              <w:rPr>
                <w:b/>
                <w:lang w:val="en-US"/>
              </w:rPr>
              <w:t>The Announced Pledges Scenario/APS</w:t>
            </w:r>
          </w:p>
        </w:tc>
        <w:tc>
          <w:tcPr>
            <w:tcW w:w="7800" w:type="dxa"/>
            <w:vAlign w:val="center"/>
          </w:tcPr>
          <w:p w14:paraId="34A97A5B" w14:textId="6FAB87B3" w:rsidR="00FC4C01" w:rsidRPr="00AB641B" w:rsidRDefault="009A073B" w:rsidP="00AB641B">
            <w:pPr>
              <w:pStyle w:val="a3"/>
              <w:rPr>
                <w:b/>
                <w:bCs/>
                <w:lang w:val="en-US"/>
              </w:rPr>
            </w:pPr>
            <w:r>
              <w:rPr>
                <w:rStyle w:val="af5"/>
                <w:b w:val="0"/>
                <w:bCs w:val="0"/>
                <w:lang w:val="en-US"/>
              </w:rPr>
              <w:t>Average</w:t>
            </w:r>
            <w:r w:rsidR="00AB641B" w:rsidRPr="00AB641B">
              <w:rPr>
                <w:rStyle w:val="af5"/>
                <w:b w:val="0"/>
                <w:bCs w:val="0"/>
                <w:lang w:val="en-US"/>
              </w:rPr>
              <w:t>- a scenario of declared commitments, which assumes that all climate commitments made by governments will be fully and timely fulfilled (note: in Kazakhstan, this refers to achieving carbon neutrality by 2060).</w:t>
            </w:r>
          </w:p>
        </w:tc>
      </w:tr>
      <w:tr w:rsidR="00FC4C01" w:rsidRPr="00000B35" w14:paraId="572FE0F7" w14:textId="77777777" w:rsidTr="00FC4C01">
        <w:trPr>
          <w:trHeight w:val="340"/>
        </w:trPr>
        <w:tc>
          <w:tcPr>
            <w:tcW w:w="2405" w:type="dxa"/>
            <w:vAlign w:val="center"/>
          </w:tcPr>
          <w:p w14:paraId="5D68011C" w14:textId="77777777" w:rsidR="00FC4C01" w:rsidRPr="00354A93" w:rsidRDefault="00FC4C01" w:rsidP="009E60F1">
            <w:pPr>
              <w:spacing w:after="0" w:line="240" w:lineRule="auto"/>
              <w:rPr>
                <w:b/>
                <w:lang w:val="en-US"/>
              </w:rPr>
            </w:pPr>
            <w:r w:rsidRPr="00354A93">
              <w:rPr>
                <w:b/>
                <w:lang w:val="en-US"/>
              </w:rPr>
              <w:t>The Stated Policies Scenario/STEPS</w:t>
            </w:r>
          </w:p>
        </w:tc>
        <w:tc>
          <w:tcPr>
            <w:tcW w:w="7800" w:type="dxa"/>
            <w:vAlign w:val="center"/>
          </w:tcPr>
          <w:p w14:paraId="79FF6E1A" w14:textId="6560C80C" w:rsidR="00FC4C01" w:rsidRPr="00C0671D" w:rsidRDefault="00C0671D" w:rsidP="00C0671D">
            <w:pPr>
              <w:pStyle w:val="a3"/>
              <w:rPr>
                <w:b/>
                <w:bCs/>
                <w:lang w:val="en-US"/>
              </w:rPr>
            </w:pPr>
            <w:r w:rsidRPr="00C0671D">
              <w:rPr>
                <w:rStyle w:val="af5"/>
                <w:b w:val="0"/>
                <w:bCs w:val="0"/>
                <w:lang w:val="en-US"/>
              </w:rPr>
              <w:t>Moderate - a policy-driven scenario that models future economic and energy trends, based on the assumption that governments will follow conservative strategies and not all climate targets will be achieved by 2050.</w:t>
            </w:r>
          </w:p>
        </w:tc>
      </w:tr>
      <w:tr w:rsidR="00FC4C01" w:rsidRPr="00AD3C66" w14:paraId="063F4806" w14:textId="77777777" w:rsidTr="00FC4C01">
        <w:trPr>
          <w:trHeight w:val="340"/>
        </w:trPr>
        <w:tc>
          <w:tcPr>
            <w:tcW w:w="2405" w:type="dxa"/>
            <w:vAlign w:val="center"/>
          </w:tcPr>
          <w:p w14:paraId="62D657F1" w14:textId="3A35710B" w:rsidR="00FC4C01" w:rsidRPr="00C0671D" w:rsidRDefault="00C0671D" w:rsidP="009E60F1">
            <w:pPr>
              <w:spacing w:after="0" w:line="240" w:lineRule="auto"/>
              <w:rPr>
                <w:b/>
                <w:lang w:val="en-US"/>
              </w:rPr>
            </w:pPr>
            <w:r>
              <w:rPr>
                <w:b/>
                <w:lang w:val="en-US"/>
              </w:rPr>
              <w:t>ADB</w:t>
            </w:r>
          </w:p>
        </w:tc>
        <w:tc>
          <w:tcPr>
            <w:tcW w:w="7800" w:type="dxa"/>
            <w:vAlign w:val="center"/>
          </w:tcPr>
          <w:p w14:paraId="53F8AE30" w14:textId="641E7BEC" w:rsidR="00FC4C01" w:rsidRPr="00C0671D" w:rsidRDefault="00C0671D" w:rsidP="009E60F1">
            <w:pPr>
              <w:spacing w:after="0" w:line="240" w:lineRule="auto"/>
              <w:jc w:val="both"/>
              <w:rPr>
                <w:lang w:val="en-US"/>
              </w:rPr>
            </w:pPr>
            <w:r>
              <w:rPr>
                <w:lang w:val="en-US"/>
              </w:rPr>
              <w:t xml:space="preserve">Asian Development Bank </w:t>
            </w:r>
          </w:p>
        </w:tc>
      </w:tr>
      <w:tr w:rsidR="00FC4C01" w:rsidRPr="00AD3C66" w14:paraId="2AC22C3D" w14:textId="77777777" w:rsidTr="00FC4C01">
        <w:trPr>
          <w:trHeight w:val="340"/>
        </w:trPr>
        <w:tc>
          <w:tcPr>
            <w:tcW w:w="2405" w:type="dxa"/>
            <w:vAlign w:val="center"/>
          </w:tcPr>
          <w:p w14:paraId="44BAC6D3" w14:textId="49F98D36" w:rsidR="00FC4C01" w:rsidRPr="00C0671D" w:rsidRDefault="00C0671D" w:rsidP="009E60F1">
            <w:pPr>
              <w:spacing w:after="0" w:line="240" w:lineRule="auto"/>
              <w:rPr>
                <w:b/>
                <w:bCs/>
                <w:color w:val="000000"/>
                <w:lang w:val="en-US"/>
              </w:rPr>
            </w:pPr>
            <w:r>
              <w:rPr>
                <w:b/>
                <w:lang w:val="en-US"/>
              </w:rPr>
              <w:t>APP</w:t>
            </w:r>
          </w:p>
        </w:tc>
        <w:tc>
          <w:tcPr>
            <w:tcW w:w="7800" w:type="dxa"/>
            <w:vAlign w:val="center"/>
          </w:tcPr>
          <w:p w14:paraId="4C6A72C7" w14:textId="192D97C6" w:rsidR="00FC4C01" w:rsidRPr="00C0671D" w:rsidRDefault="00C0671D" w:rsidP="009E60F1">
            <w:pPr>
              <w:spacing w:after="0" w:line="240" w:lineRule="auto"/>
              <w:jc w:val="both"/>
              <w:rPr>
                <w:bCs/>
                <w:color w:val="000000"/>
                <w:lang w:val="en-US"/>
              </w:rPr>
            </w:pPr>
            <w:r>
              <w:rPr>
                <w:lang w:val="en-US"/>
              </w:rPr>
              <w:t>“Almaty Power Plants” JSC</w:t>
            </w:r>
          </w:p>
        </w:tc>
      </w:tr>
      <w:tr w:rsidR="00FC4C01" w:rsidRPr="00AD3C66" w14:paraId="7038A614" w14:textId="77777777" w:rsidTr="00FC4C01">
        <w:trPr>
          <w:trHeight w:val="340"/>
        </w:trPr>
        <w:tc>
          <w:tcPr>
            <w:tcW w:w="2405" w:type="dxa"/>
            <w:vAlign w:val="center"/>
          </w:tcPr>
          <w:p w14:paraId="7627E1DF" w14:textId="6F5B1BF4" w:rsidR="00FC4C01" w:rsidRPr="00C0671D" w:rsidRDefault="00C0671D" w:rsidP="009E60F1">
            <w:pPr>
              <w:spacing w:after="0" w:line="240" w:lineRule="auto"/>
              <w:rPr>
                <w:b/>
                <w:lang w:val="en-US"/>
              </w:rPr>
            </w:pPr>
            <w:r>
              <w:rPr>
                <w:b/>
                <w:lang w:val="en-US"/>
              </w:rPr>
              <w:t xml:space="preserve">BK </w:t>
            </w:r>
          </w:p>
        </w:tc>
        <w:tc>
          <w:tcPr>
            <w:tcW w:w="7800" w:type="dxa"/>
            <w:vAlign w:val="center"/>
          </w:tcPr>
          <w:p w14:paraId="73110D50" w14:textId="14133675" w:rsidR="00FC4C01" w:rsidRPr="00C0671D" w:rsidRDefault="00C0671D" w:rsidP="009E60F1">
            <w:pPr>
              <w:spacing w:after="0" w:line="240" w:lineRule="auto"/>
              <w:jc w:val="both"/>
              <w:rPr>
                <w:lang w:val="en-US"/>
              </w:rPr>
            </w:pPr>
            <w:r>
              <w:rPr>
                <w:lang w:val="en-US"/>
              </w:rPr>
              <w:t>“</w:t>
            </w:r>
            <w:proofErr w:type="spellStart"/>
            <w:r>
              <w:rPr>
                <w:lang w:val="en-US"/>
              </w:rPr>
              <w:t>Bogatyr</w:t>
            </w:r>
            <w:proofErr w:type="spellEnd"/>
            <w:r>
              <w:rPr>
                <w:lang w:val="en-US"/>
              </w:rPr>
              <w:t xml:space="preserve"> </w:t>
            </w:r>
            <w:proofErr w:type="spellStart"/>
            <w:r>
              <w:rPr>
                <w:lang w:val="en-US"/>
              </w:rPr>
              <w:t>Komir</w:t>
            </w:r>
            <w:proofErr w:type="spellEnd"/>
            <w:r>
              <w:rPr>
                <w:lang w:val="en-US"/>
              </w:rPr>
              <w:t>” LLP</w:t>
            </w:r>
          </w:p>
        </w:tc>
      </w:tr>
      <w:tr w:rsidR="00FC4C01" w:rsidRPr="00AD3C66" w14:paraId="659F88E4" w14:textId="77777777" w:rsidTr="00FC4C01">
        <w:trPr>
          <w:trHeight w:val="397"/>
        </w:trPr>
        <w:tc>
          <w:tcPr>
            <w:tcW w:w="2405" w:type="dxa"/>
            <w:vAlign w:val="center"/>
          </w:tcPr>
          <w:p w14:paraId="48483C62" w14:textId="7B72605F" w:rsidR="00FC4C01" w:rsidRPr="00C0671D" w:rsidRDefault="00C0671D" w:rsidP="009E60F1">
            <w:pPr>
              <w:spacing w:after="0" w:line="240" w:lineRule="auto"/>
              <w:rPr>
                <w:b/>
                <w:bCs/>
                <w:color w:val="000000"/>
                <w:lang w:val="en-US"/>
              </w:rPr>
            </w:pPr>
            <w:r>
              <w:rPr>
                <w:b/>
                <w:bCs/>
                <w:color w:val="000000"/>
                <w:lang w:val="en-US"/>
              </w:rPr>
              <w:t xml:space="preserve">GDP </w:t>
            </w:r>
          </w:p>
        </w:tc>
        <w:tc>
          <w:tcPr>
            <w:tcW w:w="7800" w:type="dxa"/>
            <w:vAlign w:val="center"/>
          </w:tcPr>
          <w:p w14:paraId="164163D4" w14:textId="683D58D2" w:rsidR="00FC4C01" w:rsidRPr="00C0671D" w:rsidRDefault="00C0671D" w:rsidP="009E60F1">
            <w:pPr>
              <w:spacing w:after="0" w:line="240" w:lineRule="auto"/>
              <w:jc w:val="both"/>
              <w:rPr>
                <w:bCs/>
                <w:color w:val="000000"/>
                <w:lang w:val="en-US"/>
              </w:rPr>
            </w:pPr>
            <w:r>
              <w:rPr>
                <w:bCs/>
                <w:color w:val="000000"/>
                <w:lang w:val="en-US"/>
              </w:rPr>
              <w:t xml:space="preserve">Gross domestic product </w:t>
            </w:r>
          </w:p>
        </w:tc>
      </w:tr>
      <w:tr w:rsidR="00FC4C01" w:rsidRPr="00AD3C66" w14:paraId="0C4D0DCD" w14:textId="77777777" w:rsidTr="00FC4C01">
        <w:trPr>
          <w:trHeight w:val="340"/>
        </w:trPr>
        <w:tc>
          <w:tcPr>
            <w:tcW w:w="2405" w:type="dxa"/>
            <w:vAlign w:val="center"/>
          </w:tcPr>
          <w:p w14:paraId="34537A9B" w14:textId="4ED8331B" w:rsidR="00FC4C01" w:rsidRPr="00C0671D" w:rsidRDefault="00C0671D" w:rsidP="009E60F1">
            <w:pPr>
              <w:spacing w:after="0" w:line="240" w:lineRule="auto"/>
              <w:rPr>
                <w:b/>
                <w:bCs/>
                <w:color w:val="000000"/>
                <w:lang w:val="en-US"/>
              </w:rPr>
            </w:pPr>
            <w:r>
              <w:rPr>
                <w:b/>
                <w:lang w:val="en-US"/>
              </w:rPr>
              <w:t xml:space="preserve">RES </w:t>
            </w:r>
          </w:p>
        </w:tc>
        <w:tc>
          <w:tcPr>
            <w:tcW w:w="7800" w:type="dxa"/>
            <w:vAlign w:val="center"/>
          </w:tcPr>
          <w:p w14:paraId="019355BE" w14:textId="6453D88A" w:rsidR="00FC4C01" w:rsidRPr="00C0671D" w:rsidRDefault="00C0671D" w:rsidP="009E60F1">
            <w:pPr>
              <w:spacing w:after="0" w:line="240" w:lineRule="auto"/>
              <w:jc w:val="both"/>
              <w:rPr>
                <w:bCs/>
                <w:color w:val="000000"/>
                <w:lang w:val="en-US"/>
              </w:rPr>
            </w:pPr>
            <w:r>
              <w:rPr>
                <w:lang w:val="en-US"/>
              </w:rPr>
              <w:t xml:space="preserve">Renewable energy sources </w:t>
            </w:r>
          </w:p>
        </w:tc>
      </w:tr>
      <w:tr w:rsidR="00FC4C01" w:rsidRPr="00AD3C66" w14:paraId="75A4FC0F" w14:textId="77777777" w:rsidTr="00FC4C01">
        <w:trPr>
          <w:trHeight w:val="340"/>
        </w:trPr>
        <w:tc>
          <w:tcPr>
            <w:tcW w:w="2405" w:type="dxa"/>
            <w:vAlign w:val="center"/>
          </w:tcPr>
          <w:p w14:paraId="031738A9" w14:textId="7ECDA1AB" w:rsidR="00FC4C01" w:rsidRPr="00C0671D" w:rsidRDefault="00C0671D" w:rsidP="009E60F1">
            <w:pPr>
              <w:spacing w:after="0" w:line="240" w:lineRule="auto"/>
              <w:rPr>
                <w:rFonts w:eastAsia="Arial Unicode MS"/>
                <w:b/>
                <w:lang w:val="en-US"/>
              </w:rPr>
            </w:pPr>
            <w:r>
              <w:rPr>
                <w:b/>
                <w:lang w:val="en-US"/>
              </w:rPr>
              <w:t xml:space="preserve">WPP </w:t>
            </w:r>
          </w:p>
        </w:tc>
        <w:tc>
          <w:tcPr>
            <w:tcW w:w="7800" w:type="dxa"/>
            <w:vAlign w:val="center"/>
          </w:tcPr>
          <w:p w14:paraId="2CE55971" w14:textId="42C13D8B" w:rsidR="00FC4C01" w:rsidRPr="00C0671D" w:rsidRDefault="00C0671D" w:rsidP="009E60F1">
            <w:pPr>
              <w:spacing w:after="0" w:line="240" w:lineRule="auto"/>
              <w:jc w:val="both"/>
              <w:rPr>
                <w:bCs/>
                <w:color w:val="000000"/>
                <w:lang w:val="en-US"/>
              </w:rPr>
            </w:pPr>
            <w:r>
              <w:rPr>
                <w:lang w:val="en-US"/>
              </w:rPr>
              <w:t xml:space="preserve">Wind power plant </w:t>
            </w:r>
          </w:p>
        </w:tc>
      </w:tr>
      <w:tr w:rsidR="00FC4C01" w:rsidRPr="00AD3C66" w14:paraId="2207E9E0" w14:textId="77777777" w:rsidTr="00FC4C01">
        <w:trPr>
          <w:trHeight w:val="340"/>
        </w:trPr>
        <w:tc>
          <w:tcPr>
            <w:tcW w:w="2405" w:type="dxa"/>
            <w:vAlign w:val="center"/>
          </w:tcPr>
          <w:p w14:paraId="5566C6E5" w14:textId="41CE4593" w:rsidR="00FC4C01" w:rsidRPr="00C0671D" w:rsidRDefault="00C0671D" w:rsidP="009E60F1">
            <w:pPr>
              <w:spacing w:after="0" w:line="240" w:lineRule="auto"/>
              <w:rPr>
                <w:b/>
                <w:bCs/>
                <w:color w:val="000000"/>
                <w:lang w:val="en-US"/>
              </w:rPr>
            </w:pPr>
            <w:r>
              <w:rPr>
                <w:b/>
                <w:lang w:val="en-US"/>
              </w:rPr>
              <w:t xml:space="preserve">PSH </w:t>
            </w:r>
          </w:p>
        </w:tc>
        <w:tc>
          <w:tcPr>
            <w:tcW w:w="7800" w:type="dxa"/>
            <w:vAlign w:val="center"/>
          </w:tcPr>
          <w:p w14:paraId="62E90F96" w14:textId="5B640C04" w:rsidR="00FC4C01" w:rsidRPr="00C0671D" w:rsidRDefault="00C0671D" w:rsidP="009E60F1">
            <w:pPr>
              <w:spacing w:after="0" w:line="240" w:lineRule="auto"/>
              <w:rPr>
                <w:bCs/>
                <w:color w:val="000000"/>
                <w:lang w:val="en-US"/>
              </w:rPr>
            </w:pPr>
            <w:r>
              <w:rPr>
                <w:lang w:val="en-US"/>
              </w:rPr>
              <w:t xml:space="preserve">Pumped storage hydropower plant </w:t>
            </w:r>
          </w:p>
        </w:tc>
      </w:tr>
      <w:tr w:rsidR="00FC4C01" w:rsidRPr="00AD3C66" w14:paraId="4B89F5BC" w14:textId="77777777" w:rsidTr="00FC4C01">
        <w:trPr>
          <w:trHeight w:val="340"/>
        </w:trPr>
        <w:tc>
          <w:tcPr>
            <w:tcW w:w="2405" w:type="dxa"/>
            <w:vAlign w:val="center"/>
          </w:tcPr>
          <w:p w14:paraId="24A3FDEF" w14:textId="4DC3EF0D" w:rsidR="00FC4C01" w:rsidRPr="00C0671D" w:rsidRDefault="00C0671D" w:rsidP="009E60F1">
            <w:pPr>
              <w:spacing w:after="0" w:line="240" w:lineRule="auto"/>
              <w:rPr>
                <w:rFonts w:eastAsia="Arial Unicode MS"/>
                <w:b/>
                <w:lang w:val="en-US"/>
              </w:rPr>
            </w:pPr>
            <w:proofErr w:type="spellStart"/>
            <w:r>
              <w:rPr>
                <w:b/>
                <w:lang w:val="en-US"/>
              </w:rPr>
              <w:t>GeoTPP</w:t>
            </w:r>
            <w:proofErr w:type="spellEnd"/>
          </w:p>
        </w:tc>
        <w:tc>
          <w:tcPr>
            <w:tcW w:w="7800" w:type="dxa"/>
            <w:vAlign w:val="center"/>
          </w:tcPr>
          <w:p w14:paraId="42517F35" w14:textId="21417D1F" w:rsidR="00FC4C01" w:rsidRPr="00C0671D" w:rsidRDefault="00C0671D" w:rsidP="009E60F1">
            <w:pPr>
              <w:spacing w:after="0" w:line="240" w:lineRule="auto"/>
              <w:jc w:val="both"/>
              <w:rPr>
                <w:bCs/>
                <w:color w:val="000000"/>
                <w:lang w:val="en-US"/>
              </w:rPr>
            </w:pPr>
            <w:r>
              <w:rPr>
                <w:lang w:val="en-US"/>
              </w:rPr>
              <w:t xml:space="preserve">Geothermal power plant </w:t>
            </w:r>
          </w:p>
        </w:tc>
      </w:tr>
      <w:tr w:rsidR="00FC4C01" w:rsidRPr="00C0671D" w14:paraId="401196C0" w14:textId="77777777" w:rsidTr="00FC4C01">
        <w:trPr>
          <w:trHeight w:val="340"/>
        </w:trPr>
        <w:tc>
          <w:tcPr>
            <w:tcW w:w="2405" w:type="dxa"/>
            <w:vAlign w:val="center"/>
          </w:tcPr>
          <w:p w14:paraId="06A51334" w14:textId="0F140FC1" w:rsidR="00FC4C01" w:rsidRPr="00C0671D" w:rsidRDefault="00C0671D" w:rsidP="009E60F1">
            <w:pPr>
              <w:spacing w:after="0" w:line="240" w:lineRule="auto"/>
              <w:rPr>
                <w:b/>
                <w:bCs/>
                <w:color w:val="000000"/>
                <w:lang w:val="en-US"/>
              </w:rPr>
            </w:pPr>
            <w:r>
              <w:rPr>
                <w:b/>
                <w:lang w:val="en-US"/>
              </w:rPr>
              <w:t>SDPP</w:t>
            </w:r>
          </w:p>
        </w:tc>
        <w:tc>
          <w:tcPr>
            <w:tcW w:w="7800" w:type="dxa"/>
            <w:vAlign w:val="center"/>
          </w:tcPr>
          <w:p w14:paraId="05DE6692" w14:textId="658A310C" w:rsidR="00FC4C01" w:rsidRPr="00C0671D" w:rsidRDefault="00C0671D" w:rsidP="009E60F1">
            <w:pPr>
              <w:spacing w:after="0" w:line="240" w:lineRule="auto"/>
              <w:rPr>
                <w:bCs/>
                <w:color w:val="000000"/>
              </w:rPr>
            </w:pPr>
            <w:r>
              <w:rPr>
                <w:lang w:val="en-US"/>
              </w:rPr>
              <w:t xml:space="preserve">State District Power Plant </w:t>
            </w:r>
          </w:p>
        </w:tc>
      </w:tr>
      <w:tr w:rsidR="00FC4C01" w:rsidRPr="00AD3C66" w14:paraId="7A7B5857" w14:textId="77777777" w:rsidTr="00FC4C01">
        <w:trPr>
          <w:trHeight w:val="340"/>
        </w:trPr>
        <w:tc>
          <w:tcPr>
            <w:tcW w:w="2405" w:type="dxa"/>
            <w:vAlign w:val="center"/>
          </w:tcPr>
          <w:p w14:paraId="7DD127ED" w14:textId="0FED471A" w:rsidR="00FC4C01" w:rsidRPr="001C5BD8" w:rsidRDefault="001C5BD8" w:rsidP="009E60F1">
            <w:pPr>
              <w:spacing w:after="0" w:line="240" w:lineRule="auto"/>
              <w:rPr>
                <w:rFonts w:eastAsia="Arial Unicode MS"/>
                <w:b/>
                <w:lang w:val="en-US"/>
              </w:rPr>
            </w:pPr>
            <w:r>
              <w:rPr>
                <w:b/>
                <w:lang w:val="en-US"/>
              </w:rPr>
              <w:t>HPP</w:t>
            </w:r>
          </w:p>
        </w:tc>
        <w:tc>
          <w:tcPr>
            <w:tcW w:w="7800" w:type="dxa"/>
            <w:vAlign w:val="center"/>
          </w:tcPr>
          <w:p w14:paraId="5BF5A9AE" w14:textId="315A9821" w:rsidR="00FC4C01" w:rsidRPr="001C5BD8" w:rsidRDefault="001C5BD8" w:rsidP="009E60F1">
            <w:pPr>
              <w:spacing w:after="0" w:line="240" w:lineRule="auto"/>
              <w:jc w:val="both"/>
              <w:rPr>
                <w:rFonts w:eastAsia="Arial Unicode MS"/>
                <w:lang w:val="en-US"/>
              </w:rPr>
            </w:pPr>
            <w:r>
              <w:rPr>
                <w:lang w:val="en-US"/>
              </w:rPr>
              <w:t>Hydropower plant</w:t>
            </w:r>
          </w:p>
        </w:tc>
      </w:tr>
      <w:tr w:rsidR="00FC4C01" w:rsidRPr="00000B35" w14:paraId="64770EA0" w14:textId="77777777" w:rsidTr="00FC4C01">
        <w:trPr>
          <w:trHeight w:val="340"/>
        </w:trPr>
        <w:tc>
          <w:tcPr>
            <w:tcW w:w="2405" w:type="dxa"/>
            <w:vAlign w:val="center"/>
          </w:tcPr>
          <w:p w14:paraId="68F90387" w14:textId="534EB6B7" w:rsidR="00FC4C01" w:rsidRPr="001C5BD8" w:rsidRDefault="001C5BD8" w:rsidP="009E60F1">
            <w:pPr>
              <w:spacing w:after="0" w:line="240" w:lineRule="auto"/>
              <w:rPr>
                <w:rFonts w:eastAsia="Arial Unicode MS"/>
                <w:b/>
                <w:lang w:val="en-US"/>
              </w:rPr>
            </w:pPr>
            <w:r>
              <w:rPr>
                <w:b/>
                <w:lang w:val="en-US"/>
              </w:rPr>
              <w:t>Decarbonization</w:t>
            </w:r>
          </w:p>
        </w:tc>
        <w:tc>
          <w:tcPr>
            <w:tcW w:w="7800" w:type="dxa"/>
            <w:vAlign w:val="center"/>
          </w:tcPr>
          <w:p w14:paraId="3409510C" w14:textId="4E0CDDB5" w:rsidR="00FC4C01" w:rsidRPr="001C5BD8" w:rsidRDefault="001C5BD8" w:rsidP="001C5BD8">
            <w:pPr>
              <w:pStyle w:val="a3"/>
              <w:rPr>
                <w:lang w:val="en-US"/>
              </w:rPr>
            </w:pPr>
            <w:r w:rsidRPr="001C5BD8">
              <w:rPr>
                <w:lang w:val="en-US"/>
              </w:rPr>
              <w:t>The process of reducing carbon emissions into the atmosphere</w:t>
            </w:r>
          </w:p>
        </w:tc>
      </w:tr>
      <w:tr w:rsidR="00FC4C01" w:rsidRPr="00000B35" w14:paraId="415A573A" w14:textId="77777777" w:rsidTr="00FC4C01">
        <w:trPr>
          <w:trHeight w:val="397"/>
        </w:trPr>
        <w:tc>
          <w:tcPr>
            <w:tcW w:w="2405" w:type="dxa"/>
            <w:vAlign w:val="center"/>
          </w:tcPr>
          <w:p w14:paraId="46790517" w14:textId="18BCDE81" w:rsidR="00FC4C01" w:rsidRPr="001C5BD8" w:rsidRDefault="001C5BD8" w:rsidP="009E60F1">
            <w:pPr>
              <w:spacing w:after="0" w:line="240" w:lineRule="auto"/>
              <w:rPr>
                <w:rFonts w:eastAsia="Arial Unicode MS"/>
                <w:b/>
                <w:lang w:val="en-US"/>
              </w:rPr>
            </w:pPr>
            <w:r>
              <w:rPr>
                <w:b/>
                <w:lang w:val="en-US"/>
              </w:rPr>
              <w:t>SA</w:t>
            </w:r>
          </w:p>
        </w:tc>
        <w:tc>
          <w:tcPr>
            <w:tcW w:w="7800" w:type="dxa"/>
            <w:vAlign w:val="center"/>
          </w:tcPr>
          <w:p w14:paraId="2BC50B97" w14:textId="05EF6F79" w:rsidR="00FC4C01" w:rsidRPr="001C5BD8" w:rsidRDefault="001C5BD8" w:rsidP="009E60F1">
            <w:pPr>
              <w:spacing w:after="0" w:line="240" w:lineRule="auto"/>
              <w:jc w:val="both"/>
              <w:rPr>
                <w:rFonts w:eastAsia="Arial Unicode MS"/>
                <w:lang w:val="en-US"/>
              </w:rPr>
            </w:pPr>
            <w:r>
              <w:rPr>
                <w:lang w:val="en-US"/>
              </w:rPr>
              <w:t>Subsidiaries and affiliates of Samruk-Energy JSC</w:t>
            </w:r>
          </w:p>
        </w:tc>
      </w:tr>
      <w:tr w:rsidR="00FC4C01" w:rsidRPr="00000B35" w14:paraId="049A8ECF" w14:textId="77777777" w:rsidTr="00FC4C01">
        <w:trPr>
          <w:trHeight w:val="340"/>
        </w:trPr>
        <w:tc>
          <w:tcPr>
            <w:tcW w:w="2405" w:type="dxa"/>
            <w:vAlign w:val="center"/>
          </w:tcPr>
          <w:p w14:paraId="41D12ED3" w14:textId="14ED889F" w:rsidR="00FC4C01" w:rsidRPr="00A56020" w:rsidRDefault="00A56020" w:rsidP="009E60F1">
            <w:pPr>
              <w:spacing w:after="0" w:line="240" w:lineRule="auto"/>
              <w:rPr>
                <w:b/>
                <w:lang w:val="en-US"/>
              </w:rPr>
            </w:pPr>
            <w:r>
              <w:rPr>
                <w:b/>
                <w:lang w:val="en-US"/>
              </w:rPr>
              <w:t>EBRD</w:t>
            </w:r>
          </w:p>
        </w:tc>
        <w:tc>
          <w:tcPr>
            <w:tcW w:w="7800" w:type="dxa"/>
            <w:vAlign w:val="center"/>
          </w:tcPr>
          <w:p w14:paraId="10FE3DEE" w14:textId="3E45AD3A" w:rsidR="00FC4C01" w:rsidRPr="001C5BD8" w:rsidRDefault="001C5BD8" w:rsidP="009E60F1">
            <w:pPr>
              <w:spacing w:after="0" w:line="240" w:lineRule="auto"/>
              <w:jc w:val="both"/>
              <w:rPr>
                <w:lang w:val="en-US"/>
              </w:rPr>
            </w:pPr>
            <w:r>
              <w:rPr>
                <w:lang w:val="en-US"/>
              </w:rPr>
              <w:t xml:space="preserve">European Bank for Reconstruction and Development </w:t>
            </w:r>
          </w:p>
        </w:tc>
      </w:tr>
      <w:tr w:rsidR="00FC4C01" w:rsidRPr="00AD3C66" w14:paraId="78BA4393" w14:textId="77777777" w:rsidTr="00FC4C01">
        <w:trPr>
          <w:trHeight w:val="340"/>
        </w:trPr>
        <w:tc>
          <w:tcPr>
            <w:tcW w:w="2405" w:type="dxa"/>
            <w:vAlign w:val="center"/>
          </w:tcPr>
          <w:p w14:paraId="38654948" w14:textId="035D485B" w:rsidR="00FC4C01" w:rsidRPr="001C5BD8" w:rsidRDefault="001C5BD8" w:rsidP="009E60F1">
            <w:pPr>
              <w:spacing w:after="0" w:line="240" w:lineRule="auto"/>
              <w:rPr>
                <w:rFonts w:eastAsia="Arial Unicode MS"/>
                <w:b/>
                <w:lang w:val="en-US"/>
              </w:rPr>
            </w:pPr>
            <w:r>
              <w:rPr>
                <w:b/>
                <w:lang w:val="en-US"/>
              </w:rPr>
              <w:t xml:space="preserve">EU </w:t>
            </w:r>
          </w:p>
        </w:tc>
        <w:tc>
          <w:tcPr>
            <w:tcW w:w="7800" w:type="dxa"/>
            <w:vAlign w:val="center"/>
          </w:tcPr>
          <w:p w14:paraId="20B91DD5" w14:textId="34A1102A" w:rsidR="00FC4C01" w:rsidRPr="001C5BD8" w:rsidRDefault="001C5BD8" w:rsidP="009E60F1">
            <w:pPr>
              <w:spacing w:after="0" w:line="240" w:lineRule="auto"/>
              <w:jc w:val="both"/>
              <w:rPr>
                <w:rFonts w:eastAsia="Arial Unicode MS"/>
                <w:lang w:val="en-US"/>
              </w:rPr>
            </w:pPr>
            <w:r>
              <w:rPr>
                <w:lang w:val="en-US"/>
              </w:rPr>
              <w:t xml:space="preserve">European Union </w:t>
            </w:r>
          </w:p>
        </w:tc>
      </w:tr>
      <w:tr w:rsidR="00FC4C01" w:rsidRPr="00000B35" w14:paraId="02C005E8" w14:textId="77777777" w:rsidTr="00FC4C01">
        <w:trPr>
          <w:trHeight w:val="340"/>
        </w:trPr>
        <w:tc>
          <w:tcPr>
            <w:tcW w:w="2405" w:type="dxa"/>
            <w:vAlign w:val="center"/>
          </w:tcPr>
          <w:p w14:paraId="1CBF5E62" w14:textId="739B2C04" w:rsidR="00FC4C01" w:rsidRPr="001C5BD8" w:rsidRDefault="001C5BD8" w:rsidP="009E60F1">
            <w:pPr>
              <w:spacing w:after="0" w:line="240" w:lineRule="auto"/>
              <w:rPr>
                <w:rFonts w:eastAsia="Arial Unicode MS"/>
                <w:b/>
                <w:lang w:val="en-US"/>
              </w:rPr>
            </w:pPr>
            <w:r>
              <w:rPr>
                <w:rFonts w:eastAsia="Arial Unicode MS"/>
                <w:b/>
                <w:lang w:val="en-US"/>
              </w:rPr>
              <w:t>LULUCF</w:t>
            </w:r>
          </w:p>
        </w:tc>
        <w:tc>
          <w:tcPr>
            <w:tcW w:w="7800" w:type="dxa"/>
            <w:vAlign w:val="center"/>
          </w:tcPr>
          <w:p w14:paraId="4DA87C27" w14:textId="5C005365" w:rsidR="001C5BD8" w:rsidRPr="001C5BD8" w:rsidRDefault="001C5BD8" w:rsidP="001C5BD8">
            <w:pPr>
              <w:pStyle w:val="a3"/>
              <w:rPr>
                <w:lang w:val="en-US"/>
              </w:rPr>
            </w:pPr>
            <w:r w:rsidRPr="001C5BD8">
              <w:rPr>
                <w:lang w:val="en-US"/>
              </w:rPr>
              <w:t xml:space="preserve"> Land Use, Land-Use Change, and Forestry sector</w:t>
            </w:r>
          </w:p>
          <w:p w14:paraId="7494925E" w14:textId="42338600" w:rsidR="00FC4C01" w:rsidRPr="001C5BD8" w:rsidRDefault="00FC4C01" w:rsidP="009E60F1">
            <w:pPr>
              <w:spacing w:after="0" w:line="240" w:lineRule="auto"/>
              <w:jc w:val="both"/>
              <w:rPr>
                <w:rFonts w:eastAsia="Arial Unicode MS"/>
                <w:lang w:val="en-US"/>
              </w:rPr>
            </w:pPr>
          </w:p>
        </w:tc>
      </w:tr>
      <w:tr w:rsidR="00FC4C01" w:rsidRPr="00000B35" w14:paraId="2FB48091" w14:textId="77777777" w:rsidTr="00FC4C01">
        <w:trPr>
          <w:trHeight w:val="397"/>
        </w:trPr>
        <w:tc>
          <w:tcPr>
            <w:tcW w:w="2405" w:type="dxa"/>
            <w:vAlign w:val="center"/>
          </w:tcPr>
          <w:p w14:paraId="1BAF3C2C" w14:textId="7942D7DF" w:rsidR="00FC4C01" w:rsidRPr="001C5BD8" w:rsidRDefault="001C5BD8" w:rsidP="009E60F1">
            <w:pPr>
              <w:spacing w:after="0" w:line="240" w:lineRule="auto"/>
              <w:rPr>
                <w:rFonts w:eastAsia="Arial Unicode MS"/>
                <w:b/>
                <w:lang w:val="en-US"/>
              </w:rPr>
            </w:pPr>
            <w:r>
              <w:rPr>
                <w:b/>
                <w:lang w:val="en-US"/>
              </w:rPr>
              <w:t>kWh</w:t>
            </w:r>
          </w:p>
        </w:tc>
        <w:tc>
          <w:tcPr>
            <w:tcW w:w="7800" w:type="dxa"/>
            <w:vAlign w:val="center"/>
          </w:tcPr>
          <w:p w14:paraId="2CA421E1" w14:textId="6975E2C0" w:rsidR="00FC4C01" w:rsidRPr="001C5BD8" w:rsidRDefault="001C5BD8" w:rsidP="001C5BD8">
            <w:pPr>
              <w:pStyle w:val="a3"/>
              <w:rPr>
                <w:lang w:val="en-US"/>
              </w:rPr>
            </w:pPr>
            <w:r w:rsidRPr="001C5BD8">
              <w:rPr>
                <w:lang w:val="en-US"/>
              </w:rPr>
              <w:t>Kilowatt-hour, a unit of electricity generation measurement</w:t>
            </w:r>
          </w:p>
        </w:tc>
      </w:tr>
      <w:tr w:rsidR="00FC4C01" w:rsidRPr="00AD3C66" w14:paraId="5F550E92" w14:textId="77777777" w:rsidTr="00FC4C01">
        <w:trPr>
          <w:trHeight w:val="340"/>
        </w:trPr>
        <w:tc>
          <w:tcPr>
            <w:tcW w:w="2405" w:type="dxa"/>
            <w:vAlign w:val="center"/>
          </w:tcPr>
          <w:p w14:paraId="3AB50D9F" w14:textId="0DB2AE45" w:rsidR="00FC4C01" w:rsidRPr="001C5BD8" w:rsidRDefault="001C5BD8" w:rsidP="009E60F1">
            <w:pPr>
              <w:spacing w:after="0" w:line="240" w:lineRule="auto"/>
              <w:rPr>
                <w:rFonts w:eastAsia="Arial Unicode MS"/>
                <w:b/>
                <w:lang w:val="en-US"/>
              </w:rPr>
            </w:pPr>
            <w:r>
              <w:rPr>
                <w:b/>
                <w:lang w:val="en-US"/>
              </w:rPr>
              <w:t xml:space="preserve">IFCA </w:t>
            </w:r>
          </w:p>
        </w:tc>
        <w:tc>
          <w:tcPr>
            <w:tcW w:w="7800" w:type="dxa"/>
            <w:vAlign w:val="center"/>
          </w:tcPr>
          <w:p w14:paraId="4ED86986" w14:textId="21CF5298" w:rsidR="00FC4C01" w:rsidRPr="001C5BD8" w:rsidRDefault="001C5BD8" w:rsidP="009E60F1">
            <w:pPr>
              <w:spacing w:after="0" w:line="240" w:lineRule="auto"/>
              <w:jc w:val="both"/>
              <w:rPr>
                <w:rFonts w:eastAsia="Arial Unicode MS"/>
                <w:lang w:val="en-US"/>
              </w:rPr>
            </w:pPr>
            <w:r>
              <w:rPr>
                <w:lang w:val="en-US"/>
              </w:rPr>
              <w:t xml:space="preserve">International financial center “Astana” </w:t>
            </w:r>
          </w:p>
        </w:tc>
      </w:tr>
      <w:tr w:rsidR="00FC4C01" w:rsidRPr="00AD3C66" w14:paraId="2308D7D1" w14:textId="77777777" w:rsidTr="00FC4C01">
        <w:trPr>
          <w:trHeight w:val="340"/>
        </w:trPr>
        <w:tc>
          <w:tcPr>
            <w:tcW w:w="2405" w:type="dxa"/>
            <w:vAlign w:val="center"/>
          </w:tcPr>
          <w:p w14:paraId="5D1CEF86" w14:textId="2DB3C21D" w:rsidR="00FC4C01" w:rsidRPr="001C5BD8" w:rsidRDefault="001C5BD8" w:rsidP="009E60F1">
            <w:pPr>
              <w:spacing w:after="0" w:line="240" w:lineRule="auto"/>
              <w:rPr>
                <w:rFonts w:eastAsia="Arial Unicode MS"/>
                <w:b/>
                <w:lang w:val="en-US"/>
              </w:rPr>
            </w:pPr>
            <w:r>
              <w:rPr>
                <w:b/>
                <w:lang w:val="en-US"/>
              </w:rPr>
              <w:t>BAT</w:t>
            </w:r>
          </w:p>
        </w:tc>
        <w:tc>
          <w:tcPr>
            <w:tcW w:w="7800" w:type="dxa"/>
            <w:vAlign w:val="center"/>
          </w:tcPr>
          <w:p w14:paraId="3A1DC484" w14:textId="5041851A" w:rsidR="00FC4C01" w:rsidRPr="001C5BD8" w:rsidRDefault="001C5BD8" w:rsidP="009E60F1">
            <w:pPr>
              <w:spacing w:after="0" w:line="240" w:lineRule="auto"/>
              <w:jc w:val="both"/>
              <w:rPr>
                <w:rFonts w:eastAsia="Arial Unicode MS"/>
                <w:lang w:val="en-US"/>
              </w:rPr>
            </w:pPr>
            <w:r>
              <w:rPr>
                <w:lang w:val="en-US"/>
              </w:rPr>
              <w:t>Best Available Technology</w:t>
            </w:r>
          </w:p>
        </w:tc>
      </w:tr>
      <w:tr w:rsidR="00FC4C01" w:rsidRPr="00AD3C66" w14:paraId="7FBD7609" w14:textId="77777777" w:rsidTr="00FC4C01">
        <w:trPr>
          <w:trHeight w:val="340"/>
        </w:trPr>
        <w:tc>
          <w:tcPr>
            <w:tcW w:w="2405" w:type="dxa"/>
            <w:vAlign w:val="center"/>
          </w:tcPr>
          <w:p w14:paraId="254C3AEE" w14:textId="5BFE119C" w:rsidR="00FC4C01" w:rsidRPr="001C5BD8" w:rsidRDefault="001C5BD8" w:rsidP="009E60F1">
            <w:pPr>
              <w:spacing w:after="0" w:line="240" w:lineRule="auto"/>
              <w:rPr>
                <w:rFonts w:eastAsia="Arial Unicode MS"/>
                <w:b/>
                <w:lang w:val="en-US"/>
              </w:rPr>
            </w:pPr>
            <w:r>
              <w:rPr>
                <w:b/>
                <w:lang w:val="en-US"/>
              </w:rPr>
              <w:t>Company</w:t>
            </w:r>
          </w:p>
        </w:tc>
        <w:tc>
          <w:tcPr>
            <w:tcW w:w="7800" w:type="dxa"/>
            <w:vAlign w:val="center"/>
          </w:tcPr>
          <w:p w14:paraId="787D734E" w14:textId="437F247A" w:rsidR="00FC4C01" w:rsidRPr="001C5BD8" w:rsidRDefault="001C5BD8" w:rsidP="009E60F1">
            <w:pPr>
              <w:spacing w:after="0" w:line="240" w:lineRule="auto"/>
              <w:jc w:val="both"/>
              <w:rPr>
                <w:rFonts w:eastAsia="Arial Unicode MS"/>
                <w:lang w:val="en-US"/>
              </w:rPr>
            </w:pPr>
            <w:r>
              <w:rPr>
                <w:lang w:val="en-US"/>
              </w:rPr>
              <w:t>“Samruk-Energy” JSC</w:t>
            </w:r>
          </w:p>
        </w:tc>
      </w:tr>
      <w:tr w:rsidR="00FC4C01" w:rsidRPr="00AD3C66" w14:paraId="05556701" w14:textId="77777777" w:rsidTr="00FC4C01">
        <w:trPr>
          <w:trHeight w:val="340"/>
        </w:trPr>
        <w:tc>
          <w:tcPr>
            <w:tcW w:w="2405" w:type="dxa"/>
            <w:vAlign w:val="center"/>
          </w:tcPr>
          <w:p w14:paraId="22663D78" w14:textId="2A2BDA6F" w:rsidR="00FC4C01" w:rsidRPr="001C5BD8" w:rsidRDefault="001C5BD8" w:rsidP="009E60F1">
            <w:pPr>
              <w:spacing w:after="0" w:line="240" w:lineRule="auto"/>
              <w:rPr>
                <w:rFonts w:eastAsia="Arial Unicode MS"/>
                <w:b/>
                <w:lang w:val="en-US"/>
              </w:rPr>
            </w:pPr>
            <w:r>
              <w:rPr>
                <w:rFonts w:eastAsia="Arial Unicode MS"/>
                <w:b/>
                <w:lang w:val="en-US"/>
              </w:rPr>
              <w:lastRenderedPageBreak/>
              <w:t>GHG</w:t>
            </w:r>
          </w:p>
        </w:tc>
        <w:tc>
          <w:tcPr>
            <w:tcW w:w="7800" w:type="dxa"/>
            <w:vAlign w:val="center"/>
          </w:tcPr>
          <w:p w14:paraId="4750E45C" w14:textId="683ED4BB" w:rsidR="00FC4C01" w:rsidRPr="001C5BD8" w:rsidRDefault="001C5BD8" w:rsidP="009E60F1">
            <w:pPr>
              <w:spacing w:after="0" w:line="240" w:lineRule="auto"/>
              <w:jc w:val="both"/>
              <w:rPr>
                <w:rFonts w:eastAsia="Arial Unicode MS"/>
                <w:lang w:val="en-US"/>
              </w:rPr>
            </w:pPr>
            <w:r>
              <w:rPr>
                <w:rFonts w:eastAsia="Arial Unicode MS"/>
                <w:lang w:val="en-US"/>
              </w:rPr>
              <w:t xml:space="preserve">Greenhouse gases </w:t>
            </w:r>
          </w:p>
        </w:tc>
      </w:tr>
      <w:tr w:rsidR="00FC4C01" w:rsidRPr="00000B35" w14:paraId="5A8DEBE8" w14:textId="77777777" w:rsidTr="00FC4C01">
        <w:trPr>
          <w:trHeight w:val="340"/>
        </w:trPr>
        <w:tc>
          <w:tcPr>
            <w:tcW w:w="2405" w:type="dxa"/>
            <w:vAlign w:val="center"/>
          </w:tcPr>
          <w:p w14:paraId="385D5314" w14:textId="2A225E6B" w:rsidR="00FC4C01" w:rsidRPr="001C5BD8" w:rsidRDefault="001C5BD8" w:rsidP="009E60F1">
            <w:pPr>
              <w:spacing w:after="0" w:line="240" w:lineRule="auto"/>
              <w:rPr>
                <w:rFonts w:eastAsia="Arial Unicode MS"/>
                <w:b/>
                <w:lang w:val="en-US"/>
              </w:rPr>
            </w:pPr>
            <w:r>
              <w:rPr>
                <w:b/>
              </w:rPr>
              <w:t>СС</w:t>
            </w:r>
            <w:r>
              <w:rPr>
                <w:b/>
                <w:lang w:val="en-US"/>
              </w:rPr>
              <w:t>GT unit</w:t>
            </w:r>
          </w:p>
        </w:tc>
        <w:tc>
          <w:tcPr>
            <w:tcW w:w="7800" w:type="dxa"/>
            <w:vAlign w:val="center"/>
          </w:tcPr>
          <w:p w14:paraId="6F48E534" w14:textId="64A50C2A" w:rsidR="00FC4C01" w:rsidRPr="001C5BD8" w:rsidRDefault="001C5BD8" w:rsidP="009E60F1">
            <w:pPr>
              <w:spacing w:after="0" w:line="240" w:lineRule="auto"/>
              <w:jc w:val="both"/>
              <w:rPr>
                <w:rFonts w:eastAsia="Arial Unicode MS"/>
                <w:lang w:val="en-US"/>
              </w:rPr>
            </w:pPr>
            <w:r>
              <w:rPr>
                <w:lang w:val="en-US"/>
              </w:rPr>
              <w:t xml:space="preserve">Combined cycle gas turbine unit </w:t>
            </w:r>
          </w:p>
        </w:tc>
      </w:tr>
      <w:tr w:rsidR="00FC4C01" w:rsidRPr="00000B35" w14:paraId="69435ECA" w14:textId="77777777" w:rsidTr="00FC4C01">
        <w:tc>
          <w:tcPr>
            <w:tcW w:w="2405" w:type="dxa"/>
            <w:vAlign w:val="center"/>
          </w:tcPr>
          <w:p w14:paraId="44EEBB34" w14:textId="3594136F" w:rsidR="00FC4C01" w:rsidRPr="001C5BD8" w:rsidRDefault="001C5BD8" w:rsidP="009E60F1">
            <w:pPr>
              <w:spacing w:after="0" w:line="240" w:lineRule="auto"/>
              <w:rPr>
                <w:rFonts w:eastAsia="Arial Unicode MS"/>
                <w:b/>
                <w:lang w:val="en-US"/>
              </w:rPr>
            </w:pPr>
            <w:r>
              <w:rPr>
                <w:b/>
                <w:lang w:val="en-US"/>
              </w:rPr>
              <w:t xml:space="preserve">Energy transition program/program </w:t>
            </w:r>
          </w:p>
        </w:tc>
        <w:tc>
          <w:tcPr>
            <w:tcW w:w="7800" w:type="dxa"/>
            <w:vAlign w:val="center"/>
          </w:tcPr>
          <w:p w14:paraId="12F216F0" w14:textId="295BC10A" w:rsidR="001C5BD8" w:rsidRPr="001C5BD8" w:rsidRDefault="001C5BD8" w:rsidP="001C5BD8">
            <w:pPr>
              <w:pStyle w:val="a3"/>
              <w:rPr>
                <w:lang w:val="en-US"/>
              </w:rPr>
            </w:pPr>
            <w:r>
              <w:rPr>
                <w:lang w:val="en-US"/>
              </w:rPr>
              <w:t>“</w:t>
            </w:r>
            <w:r w:rsidRPr="001C5BD8">
              <w:rPr>
                <w:lang w:val="en-US"/>
              </w:rPr>
              <w:t>Samruk-Energy</w:t>
            </w:r>
            <w:r>
              <w:rPr>
                <w:lang w:val="en-US"/>
              </w:rPr>
              <w:t>”</w:t>
            </w:r>
            <w:r w:rsidRPr="001C5BD8">
              <w:rPr>
                <w:lang w:val="en-US"/>
              </w:rPr>
              <w:t xml:space="preserve"> JSC Energy Transition Program </w:t>
            </w:r>
            <w:r>
              <w:rPr>
                <w:lang w:val="en-US"/>
              </w:rPr>
              <w:t>u</w:t>
            </w:r>
            <w:r w:rsidRPr="001C5BD8">
              <w:rPr>
                <w:lang w:val="en-US"/>
              </w:rPr>
              <w:t xml:space="preserve">ntil 2060 (Second </w:t>
            </w:r>
            <w:r>
              <w:rPr>
                <w:lang w:val="en-US"/>
              </w:rPr>
              <w:t>e</w:t>
            </w:r>
            <w:r w:rsidRPr="001C5BD8">
              <w:rPr>
                <w:lang w:val="en-US"/>
              </w:rPr>
              <w:t>dition)</w:t>
            </w:r>
          </w:p>
          <w:p w14:paraId="1590A62A" w14:textId="19CAC4F1" w:rsidR="00FC4C01" w:rsidRPr="001C5BD8" w:rsidRDefault="00FC4C01" w:rsidP="009E60F1">
            <w:pPr>
              <w:spacing w:after="0" w:line="240" w:lineRule="auto"/>
              <w:jc w:val="both"/>
              <w:rPr>
                <w:rFonts w:eastAsia="Arial Unicode MS"/>
                <w:lang w:val="en-US"/>
              </w:rPr>
            </w:pPr>
          </w:p>
        </w:tc>
      </w:tr>
      <w:tr w:rsidR="00FC4C01" w:rsidRPr="00AD3C66" w14:paraId="223C1C24" w14:textId="77777777" w:rsidTr="00FC4C01">
        <w:trPr>
          <w:trHeight w:val="340"/>
        </w:trPr>
        <w:tc>
          <w:tcPr>
            <w:tcW w:w="2405" w:type="dxa"/>
            <w:vAlign w:val="center"/>
          </w:tcPr>
          <w:p w14:paraId="58985ACD" w14:textId="3EDF39BE" w:rsidR="00FC4C01" w:rsidRPr="001C5BD8" w:rsidRDefault="001C5BD8" w:rsidP="009E60F1">
            <w:pPr>
              <w:spacing w:after="0" w:line="240" w:lineRule="auto"/>
              <w:rPr>
                <w:rFonts w:eastAsia="Arial Unicode MS"/>
                <w:b/>
                <w:lang w:val="en-US"/>
              </w:rPr>
            </w:pPr>
            <w:r>
              <w:rPr>
                <w:b/>
                <w:lang w:val="en-US"/>
              </w:rPr>
              <w:t xml:space="preserve">RK </w:t>
            </w:r>
          </w:p>
        </w:tc>
        <w:tc>
          <w:tcPr>
            <w:tcW w:w="7800" w:type="dxa"/>
            <w:vAlign w:val="center"/>
          </w:tcPr>
          <w:p w14:paraId="67E04822" w14:textId="2B161F72" w:rsidR="00FC4C01" w:rsidRPr="001C5BD8" w:rsidRDefault="001C5BD8" w:rsidP="009E60F1">
            <w:pPr>
              <w:spacing w:after="0" w:line="240" w:lineRule="auto"/>
              <w:jc w:val="both"/>
              <w:rPr>
                <w:rFonts w:eastAsia="Arial Unicode MS"/>
                <w:lang w:val="en-US"/>
              </w:rPr>
            </w:pPr>
            <w:r>
              <w:rPr>
                <w:lang w:val="en-US"/>
              </w:rPr>
              <w:t>The Republic of Kazakhstan</w:t>
            </w:r>
          </w:p>
        </w:tc>
      </w:tr>
      <w:tr w:rsidR="00FC4C01" w:rsidRPr="00000B35" w14:paraId="2DF32BE8" w14:textId="77777777" w:rsidTr="00FC4C01">
        <w:trPr>
          <w:trHeight w:val="340"/>
        </w:trPr>
        <w:tc>
          <w:tcPr>
            <w:tcW w:w="2405" w:type="dxa"/>
            <w:vAlign w:val="center"/>
          </w:tcPr>
          <w:p w14:paraId="7710581B" w14:textId="03CCC017" w:rsidR="00FC4C01" w:rsidRPr="001C5BD8" w:rsidRDefault="001C5BD8" w:rsidP="009E60F1">
            <w:pPr>
              <w:spacing w:after="0" w:line="240" w:lineRule="auto"/>
              <w:rPr>
                <w:b/>
                <w:lang w:val="en-US"/>
              </w:rPr>
            </w:pPr>
            <w:proofErr w:type="spellStart"/>
            <w:r>
              <w:rPr>
                <w:b/>
                <w:lang w:val="en-US"/>
              </w:rPr>
              <w:t>BoD</w:t>
            </w:r>
            <w:proofErr w:type="spellEnd"/>
            <w:r>
              <w:rPr>
                <w:b/>
                <w:lang w:val="en-US"/>
              </w:rPr>
              <w:t xml:space="preserve"> </w:t>
            </w:r>
          </w:p>
        </w:tc>
        <w:tc>
          <w:tcPr>
            <w:tcW w:w="7800" w:type="dxa"/>
            <w:vAlign w:val="center"/>
          </w:tcPr>
          <w:p w14:paraId="49110B81" w14:textId="106CCFFF" w:rsidR="00FC4C01" w:rsidRPr="001C5BD8" w:rsidRDefault="001C5BD8" w:rsidP="009E60F1">
            <w:pPr>
              <w:spacing w:after="0" w:line="240" w:lineRule="auto"/>
              <w:jc w:val="both"/>
              <w:rPr>
                <w:lang w:val="en-US"/>
              </w:rPr>
            </w:pPr>
            <w:r>
              <w:rPr>
                <w:lang w:val="en-US"/>
              </w:rPr>
              <w:t xml:space="preserve">“Samruk-Energy” JSC Board of Directors </w:t>
            </w:r>
          </w:p>
        </w:tc>
      </w:tr>
      <w:tr w:rsidR="00FC4C01" w:rsidRPr="00AD3C66" w14:paraId="03D63B41" w14:textId="77777777" w:rsidTr="00FC4C01">
        <w:trPr>
          <w:trHeight w:val="340"/>
        </w:trPr>
        <w:tc>
          <w:tcPr>
            <w:tcW w:w="2405" w:type="dxa"/>
            <w:vAlign w:val="center"/>
          </w:tcPr>
          <w:p w14:paraId="64E8272A" w14:textId="66F161FF" w:rsidR="00FC4C01" w:rsidRPr="00183BFC" w:rsidRDefault="001C5BD8" w:rsidP="009E60F1">
            <w:pPr>
              <w:spacing w:after="0" w:line="240" w:lineRule="auto"/>
              <w:rPr>
                <w:rFonts w:eastAsia="Arial Unicode MS"/>
                <w:b/>
              </w:rPr>
            </w:pPr>
            <w:r>
              <w:rPr>
                <w:b/>
                <w:lang w:val="en-US"/>
              </w:rPr>
              <w:t>ESDPP-2 plant</w:t>
            </w:r>
            <w:r w:rsidR="00FC4C01">
              <w:rPr>
                <w:b/>
              </w:rPr>
              <w:t>/</w:t>
            </w:r>
            <w:r>
              <w:rPr>
                <w:b/>
                <w:lang w:val="en-US"/>
              </w:rPr>
              <w:t>SDPP</w:t>
            </w:r>
            <w:r w:rsidR="00FC4C01">
              <w:rPr>
                <w:b/>
              </w:rPr>
              <w:t>-2</w:t>
            </w:r>
          </w:p>
        </w:tc>
        <w:tc>
          <w:tcPr>
            <w:tcW w:w="7800" w:type="dxa"/>
            <w:vAlign w:val="center"/>
          </w:tcPr>
          <w:p w14:paraId="393365D4" w14:textId="7213D925" w:rsidR="00FC4C01" w:rsidRPr="001C5BD8" w:rsidRDefault="001C5BD8" w:rsidP="009E60F1">
            <w:pPr>
              <w:spacing w:after="0" w:line="240" w:lineRule="auto"/>
              <w:jc w:val="both"/>
              <w:rPr>
                <w:rFonts w:eastAsia="Arial Unicode MS"/>
                <w:lang w:val="en-US"/>
              </w:rPr>
            </w:pPr>
            <w:r>
              <w:rPr>
                <w:lang w:val="en-US"/>
              </w:rPr>
              <w:t>“</w:t>
            </w:r>
            <w:proofErr w:type="spellStart"/>
            <w:r>
              <w:rPr>
                <w:lang w:val="en-US"/>
              </w:rPr>
              <w:t>Ekibastuz</w:t>
            </w:r>
            <w:proofErr w:type="spellEnd"/>
            <w:r>
              <w:rPr>
                <w:lang w:val="en-US"/>
              </w:rPr>
              <w:t xml:space="preserve"> SDPP-2 plant” JSC</w:t>
            </w:r>
          </w:p>
        </w:tc>
      </w:tr>
      <w:tr w:rsidR="00FC4C01" w:rsidRPr="00000B35" w14:paraId="6246BB1D" w14:textId="77777777" w:rsidTr="00FC4C01">
        <w:tc>
          <w:tcPr>
            <w:tcW w:w="2405" w:type="dxa"/>
            <w:vAlign w:val="center"/>
          </w:tcPr>
          <w:p w14:paraId="4CABD9CB" w14:textId="1936EA54" w:rsidR="00FC4C01" w:rsidRPr="001C5BD8" w:rsidRDefault="001C5BD8" w:rsidP="009E60F1">
            <w:pPr>
              <w:spacing w:after="0" w:line="240" w:lineRule="auto"/>
              <w:rPr>
                <w:rFonts w:eastAsia="Arial Unicode MS"/>
                <w:b/>
                <w:lang w:val="en-US"/>
              </w:rPr>
            </w:pPr>
            <w:r>
              <w:rPr>
                <w:b/>
                <w:lang w:val="en-US"/>
              </w:rPr>
              <w:t xml:space="preserve">Traditional generation </w:t>
            </w:r>
          </w:p>
        </w:tc>
        <w:tc>
          <w:tcPr>
            <w:tcW w:w="7800" w:type="dxa"/>
            <w:vAlign w:val="center"/>
          </w:tcPr>
          <w:p w14:paraId="77CF2EE3" w14:textId="63EC0C3F" w:rsidR="00FC4C01" w:rsidRPr="00496AB3" w:rsidRDefault="001C5BD8" w:rsidP="001C5BD8">
            <w:pPr>
              <w:pStyle w:val="a3"/>
              <w:rPr>
                <w:lang w:val="en-US"/>
              </w:rPr>
            </w:pPr>
            <w:r w:rsidRPr="00496AB3">
              <w:rPr>
                <w:lang w:val="en-US"/>
              </w:rPr>
              <w:t>Electricity generation using fossil fuels</w:t>
            </w:r>
          </w:p>
        </w:tc>
      </w:tr>
      <w:tr w:rsidR="00FC4C01" w:rsidRPr="00AD3C66" w14:paraId="6465C40C" w14:textId="77777777" w:rsidTr="00FC4C01">
        <w:trPr>
          <w:trHeight w:val="397"/>
        </w:trPr>
        <w:tc>
          <w:tcPr>
            <w:tcW w:w="2405" w:type="dxa"/>
            <w:vAlign w:val="center"/>
          </w:tcPr>
          <w:p w14:paraId="4E854317" w14:textId="3C90FCEB" w:rsidR="00FC4C01" w:rsidRPr="001C5BD8" w:rsidRDefault="001C5BD8" w:rsidP="009E60F1">
            <w:pPr>
              <w:spacing w:after="0" w:line="240" w:lineRule="auto"/>
              <w:rPr>
                <w:rFonts w:eastAsia="Arial Unicode MS"/>
                <w:b/>
                <w:lang w:val="en-US"/>
              </w:rPr>
            </w:pPr>
            <w:r>
              <w:rPr>
                <w:b/>
                <w:lang w:val="en-US"/>
              </w:rPr>
              <w:t>TPP</w:t>
            </w:r>
          </w:p>
        </w:tc>
        <w:tc>
          <w:tcPr>
            <w:tcW w:w="7800" w:type="dxa"/>
            <w:vAlign w:val="center"/>
          </w:tcPr>
          <w:p w14:paraId="696BB759" w14:textId="6F67466B" w:rsidR="00FC4C01" w:rsidRPr="001C5BD8" w:rsidRDefault="001C5BD8" w:rsidP="009E60F1">
            <w:pPr>
              <w:spacing w:after="0" w:line="240" w:lineRule="auto"/>
              <w:jc w:val="both"/>
              <w:rPr>
                <w:rFonts w:eastAsia="Arial Unicode MS"/>
                <w:lang w:val="en-US"/>
              </w:rPr>
            </w:pPr>
            <w:r>
              <w:rPr>
                <w:lang w:val="en-US"/>
              </w:rPr>
              <w:t xml:space="preserve">Thermal power plant </w:t>
            </w:r>
          </w:p>
        </w:tc>
      </w:tr>
      <w:tr w:rsidR="00FC4C01" w:rsidRPr="00000B35" w14:paraId="261FF6C8" w14:textId="77777777" w:rsidTr="00FC4C01">
        <w:trPr>
          <w:trHeight w:val="397"/>
        </w:trPr>
        <w:tc>
          <w:tcPr>
            <w:tcW w:w="2405" w:type="dxa"/>
            <w:vAlign w:val="center"/>
          </w:tcPr>
          <w:p w14:paraId="2F1EDDB9" w14:textId="70E3466E" w:rsidR="00FC4C01" w:rsidRPr="001C5BD8" w:rsidRDefault="001C5BD8" w:rsidP="009E60F1">
            <w:pPr>
              <w:spacing w:after="0" w:line="240" w:lineRule="auto"/>
              <w:rPr>
                <w:rFonts w:eastAsia="Arial Unicode MS"/>
                <w:b/>
                <w:lang w:val="en-US"/>
              </w:rPr>
            </w:pPr>
            <w:r>
              <w:rPr>
                <w:b/>
                <w:lang w:val="en-US"/>
              </w:rPr>
              <w:t>CHP</w:t>
            </w:r>
          </w:p>
        </w:tc>
        <w:tc>
          <w:tcPr>
            <w:tcW w:w="7800" w:type="dxa"/>
            <w:vAlign w:val="center"/>
          </w:tcPr>
          <w:p w14:paraId="4E2CC21F" w14:textId="4F9E1BF6" w:rsidR="00FC4C01" w:rsidRPr="001C5BD8" w:rsidRDefault="001C5BD8" w:rsidP="009E60F1">
            <w:pPr>
              <w:spacing w:after="0" w:line="240" w:lineRule="auto"/>
              <w:jc w:val="both"/>
              <w:rPr>
                <w:rFonts w:eastAsia="Arial Unicode MS"/>
                <w:lang w:val="en-US"/>
              </w:rPr>
            </w:pPr>
            <w:r>
              <w:rPr>
                <w:lang w:val="en-US"/>
              </w:rPr>
              <w:t xml:space="preserve">Combined heat and power plant </w:t>
            </w:r>
          </w:p>
        </w:tc>
      </w:tr>
      <w:tr w:rsidR="00FC4C01" w:rsidRPr="00000B35" w14:paraId="3199B2D3" w14:textId="77777777" w:rsidTr="00FC4C01">
        <w:tc>
          <w:tcPr>
            <w:tcW w:w="2405" w:type="dxa"/>
            <w:vAlign w:val="center"/>
          </w:tcPr>
          <w:p w14:paraId="334B1021" w14:textId="7F30F282" w:rsidR="00FC4C01" w:rsidRPr="00CD4DC6" w:rsidRDefault="001C5BD8" w:rsidP="009E60F1">
            <w:pPr>
              <w:spacing w:after="0" w:line="240" w:lineRule="auto"/>
              <w:rPr>
                <w:rFonts w:eastAsia="Arial Unicode MS"/>
                <w:b/>
              </w:rPr>
            </w:pPr>
            <w:r>
              <w:rPr>
                <w:b/>
                <w:lang w:val="en-US"/>
              </w:rPr>
              <w:t xml:space="preserve">Carbon offset </w:t>
            </w:r>
            <w:r w:rsidR="00FC4C01" w:rsidRPr="00CD4DC6">
              <w:rPr>
                <w:b/>
              </w:rPr>
              <w:t xml:space="preserve"> </w:t>
            </w:r>
          </w:p>
        </w:tc>
        <w:tc>
          <w:tcPr>
            <w:tcW w:w="7800" w:type="dxa"/>
            <w:vAlign w:val="center"/>
          </w:tcPr>
          <w:p w14:paraId="61B681AD" w14:textId="78F22964" w:rsidR="00FC4C01" w:rsidRPr="00C0671D" w:rsidRDefault="00C0671D" w:rsidP="00C0671D">
            <w:pPr>
              <w:pStyle w:val="a3"/>
              <w:rPr>
                <w:lang w:val="en-US"/>
              </w:rPr>
            </w:pPr>
            <w:r w:rsidRPr="00C0671D">
              <w:rPr>
                <w:lang w:val="en-US"/>
              </w:rPr>
              <w:t xml:space="preserve">Reduction of greenhouse gas emissions and/or increase in greenhouse gas absorption achieved as a result of </w:t>
            </w:r>
            <w:r>
              <w:rPr>
                <w:lang w:val="en-US"/>
              </w:rPr>
              <w:t>activities</w:t>
            </w:r>
            <w:r w:rsidRPr="00C0671D">
              <w:rPr>
                <w:lang w:val="en-US"/>
              </w:rPr>
              <w:t xml:space="preserve"> or types of </w:t>
            </w:r>
            <w:r>
              <w:rPr>
                <w:lang w:val="en-US"/>
              </w:rPr>
              <w:t>activities</w:t>
            </w:r>
            <w:r w:rsidRPr="00C0671D">
              <w:rPr>
                <w:lang w:val="en-US"/>
              </w:rPr>
              <w:t xml:space="preserve"> in any sectors of the economy in the Republic of Kazakhstan aimed at reducing greenhouse gas emissions and/or increasing greenhouse gas absorption</w:t>
            </w:r>
            <w:r>
              <w:rPr>
                <w:lang w:val="en-US"/>
              </w:rPr>
              <w:t>.</w:t>
            </w:r>
          </w:p>
        </w:tc>
      </w:tr>
      <w:tr w:rsidR="00FC4C01" w:rsidRPr="00000B35" w14:paraId="1A563713" w14:textId="77777777" w:rsidTr="00FC4C01">
        <w:trPr>
          <w:trHeight w:val="397"/>
        </w:trPr>
        <w:tc>
          <w:tcPr>
            <w:tcW w:w="2405" w:type="dxa"/>
            <w:vAlign w:val="center"/>
          </w:tcPr>
          <w:p w14:paraId="706E0E7C" w14:textId="0F3F9DFB" w:rsidR="00FC4C01" w:rsidRPr="00C0671D" w:rsidRDefault="00C0671D" w:rsidP="009E60F1">
            <w:pPr>
              <w:spacing w:after="0" w:line="240" w:lineRule="auto"/>
              <w:rPr>
                <w:rFonts w:eastAsia="Arial Unicode MS"/>
                <w:b/>
                <w:lang w:val="en-US"/>
              </w:rPr>
            </w:pPr>
            <w:r>
              <w:rPr>
                <w:b/>
                <w:lang w:val="en-US"/>
              </w:rPr>
              <w:t xml:space="preserve">Fund </w:t>
            </w:r>
          </w:p>
        </w:tc>
        <w:tc>
          <w:tcPr>
            <w:tcW w:w="7800" w:type="dxa"/>
            <w:vAlign w:val="center"/>
          </w:tcPr>
          <w:p w14:paraId="492E8FFA" w14:textId="59698EF1" w:rsidR="00FC4C01" w:rsidRPr="00C0671D" w:rsidRDefault="00C0671D" w:rsidP="009E60F1">
            <w:pPr>
              <w:spacing w:after="0" w:line="240" w:lineRule="auto"/>
              <w:jc w:val="both"/>
              <w:rPr>
                <w:rFonts w:eastAsia="Arial Unicode MS"/>
                <w:lang w:val="en-US"/>
              </w:rPr>
            </w:pPr>
            <w:r>
              <w:rPr>
                <w:lang w:val="en-US"/>
              </w:rPr>
              <w:t>“Sovereign Wealth Fund “Samruk-</w:t>
            </w:r>
            <w:proofErr w:type="spellStart"/>
            <w:r>
              <w:rPr>
                <w:lang w:val="en-US"/>
              </w:rPr>
              <w:t>Kazyna</w:t>
            </w:r>
            <w:proofErr w:type="spellEnd"/>
            <w:r>
              <w:rPr>
                <w:lang w:val="en-US"/>
              </w:rPr>
              <w:t xml:space="preserve">” JSC </w:t>
            </w:r>
          </w:p>
        </w:tc>
      </w:tr>
      <w:tr w:rsidR="00FC4C01" w:rsidRPr="00AD3C66" w14:paraId="44EEF3E9" w14:textId="77777777" w:rsidTr="00FC4C01">
        <w:trPr>
          <w:trHeight w:val="340"/>
        </w:trPr>
        <w:tc>
          <w:tcPr>
            <w:tcW w:w="2405" w:type="dxa"/>
            <w:vAlign w:val="center"/>
          </w:tcPr>
          <w:p w14:paraId="788B91CA" w14:textId="678B5FCD" w:rsidR="00FC4C01" w:rsidRPr="00C0671D" w:rsidRDefault="00C0671D" w:rsidP="009E60F1">
            <w:pPr>
              <w:spacing w:after="0" w:line="240" w:lineRule="auto"/>
              <w:rPr>
                <w:rFonts w:eastAsia="Arial Unicode MS"/>
                <w:b/>
                <w:lang w:val="en-US"/>
              </w:rPr>
            </w:pPr>
            <w:r>
              <w:rPr>
                <w:b/>
                <w:lang w:val="en-US"/>
              </w:rPr>
              <w:t xml:space="preserve">e/e or electricity </w:t>
            </w:r>
          </w:p>
        </w:tc>
        <w:tc>
          <w:tcPr>
            <w:tcW w:w="7800" w:type="dxa"/>
            <w:vAlign w:val="center"/>
          </w:tcPr>
          <w:p w14:paraId="1D64F3F0" w14:textId="2166B47B" w:rsidR="00FC4C01" w:rsidRPr="00C0671D" w:rsidRDefault="00C0671D" w:rsidP="009E60F1">
            <w:pPr>
              <w:spacing w:after="0" w:line="240" w:lineRule="auto"/>
              <w:jc w:val="both"/>
              <w:rPr>
                <w:rFonts w:eastAsia="Arial Unicode MS"/>
                <w:lang w:val="en-US"/>
              </w:rPr>
            </w:pPr>
            <w:r>
              <w:rPr>
                <w:lang w:val="en-US"/>
              </w:rPr>
              <w:t xml:space="preserve">Electricity </w:t>
            </w:r>
          </w:p>
        </w:tc>
      </w:tr>
      <w:tr w:rsidR="00FC4C01" w:rsidRPr="00000B35" w14:paraId="65B42A00" w14:textId="77777777" w:rsidTr="00FC4C01">
        <w:trPr>
          <w:trHeight w:val="340"/>
        </w:trPr>
        <w:tc>
          <w:tcPr>
            <w:tcW w:w="2405" w:type="dxa"/>
            <w:vAlign w:val="center"/>
          </w:tcPr>
          <w:p w14:paraId="1E10148D" w14:textId="5F6CE459" w:rsidR="00FC4C01" w:rsidRPr="00CD4DC6" w:rsidRDefault="00C0671D" w:rsidP="009E60F1">
            <w:pPr>
              <w:spacing w:after="0" w:line="240" w:lineRule="auto"/>
              <w:rPr>
                <w:rFonts w:eastAsia="Arial Unicode MS"/>
                <w:b/>
              </w:rPr>
            </w:pPr>
            <w:r>
              <w:rPr>
                <w:b/>
                <w:lang w:val="en-US"/>
              </w:rPr>
              <w:t>ESDPP</w:t>
            </w:r>
            <w:r w:rsidR="00FC4C01" w:rsidRPr="00CD4DC6">
              <w:rPr>
                <w:b/>
              </w:rPr>
              <w:t>-1</w:t>
            </w:r>
            <w:r w:rsidR="00FC4C01">
              <w:rPr>
                <w:b/>
              </w:rPr>
              <w:t>/</w:t>
            </w:r>
            <w:r>
              <w:rPr>
                <w:b/>
                <w:lang w:val="en-US"/>
              </w:rPr>
              <w:t>SDPP</w:t>
            </w:r>
            <w:r w:rsidR="00FC4C01">
              <w:rPr>
                <w:b/>
              </w:rPr>
              <w:t>-1</w:t>
            </w:r>
          </w:p>
        </w:tc>
        <w:tc>
          <w:tcPr>
            <w:tcW w:w="7800" w:type="dxa"/>
            <w:vAlign w:val="center"/>
          </w:tcPr>
          <w:p w14:paraId="69F13611" w14:textId="6358E615" w:rsidR="00FC4C01" w:rsidRPr="00C0671D" w:rsidRDefault="00C0671D" w:rsidP="009E60F1">
            <w:pPr>
              <w:spacing w:after="0" w:line="240" w:lineRule="auto"/>
              <w:jc w:val="both"/>
              <w:rPr>
                <w:rFonts w:eastAsia="Arial Unicode MS"/>
                <w:lang w:val="en-US"/>
              </w:rPr>
            </w:pPr>
            <w:r>
              <w:rPr>
                <w:lang w:val="en-US"/>
              </w:rPr>
              <w:t>“</w:t>
            </w:r>
            <w:proofErr w:type="spellStart"/>
            <w:r>
              <w:rPr>
                <w:lang w:val="en-US"/>
              </w:rPr>
              <w:t>Ekibastuz</w:t>
            </w:r>
            <w:proofErr w:type="spellEnd"/>
            <w:r>
              <w:rPr>
                <w:lang w:val="en-US"/>
              </w:rPr>
              <w:t xml:space="preserve"> SDPP-1 named after </w:t>
            </w:r>
            <w:proofErr w:type="spellStart"/>
            <w:r>
              <w:rPr>
                <w:lang w:val="en-US"/>
              </w:rPr>
              <w:t>B.Nurzhanov</w:t>
            </w:r>
            <w:proofErr w:type="spellEnd"/>
            <w:r>
              <w:rPr>
                <w:lang w:val="en-US"/>
              </w:rPr>
              <w:t xml:space="preserve">” LLP </w:t>
            </w:r>
          </w:p>
        </w:tc>
      </w:tr>
      <w:tr w:rsidR="00FC4C01" w:rsidRPr="00000B35" w14:paraId="7D43467A" w14:textId="77777777" w:rsidTr="00FC4C01">
        <w:tc>
          <w:tcPr>
            <w:tcW w:w="2405" w:type="dxa"/>
            <w:vAlign w:val="center"/>
          </w:tcPr>
          <w:p w14:paraId="4BBC3D8E" w14:textId="635E25D3" w:rsidR="00FC4C01" w:rsidRPr="00CD4DC6" w:rsidRDefault="00C0671D" w:rsidP="009E60F1">
            <w:pPr>
              <w:spacing w:after="0" w:line="240" w:lineRule="auto"/>
              <w:rPr>
                <w:rFonts w:eastAsia="Arial Unicode MS"/>
                <w:b/>
              </w:rPr>
            </w:pPr>
            <w:r>
              <w:rPr>
                <w:b/>
                <w:lang w:val="en-US"/>
              </w:rPr>
              <w:t xml:space="preserve">Energy transition </w:t>
            </w:r>
            <w:r w:rsidR="00FC4C01" w:rsidRPr="00CD4DC6">
              <w:rPr>
                <w:b/>
              </w:rPr>
              <w:t xml:space="preserve"> </w:t>
            </w:r>
          </w:p>
        </w:tc>
        <w:tc>
          <w:tcPr>
            <w:tcW w:w="7800" w:type="dxa"/>
            <w:vAlign w:val="center"/>
          </w:tcPr>
          <w:p w14:paraId="0F925E95" w14:textId="302B1F39" w:rsidR="00FC4C01" w:rsidRPr="00C0671D" w:rsidRDefault="00C0671D" w:rsidP="009E60F1">
            <w:pPr>
              <w:spacing w:after="0" w:line="240" w:lineRule="auto"/>
              <w:jc w:val="both"/>
              <w:rPr>
                <w:rFonts w:eastAsia="Arial Unicode MS"/>
                <w:lang w:val="en-US"/>
              </w:rPr>
            </w:pPr>
            <w:r w:rsidRPr="00C0671D">
              <w:rPr>
                <w:color w:val="0D0D0D"/>
                <w:shd w:val="clear" w:color="auto" w:fill="FFFFFF"/>
                <w:lang w:val="en-US"/>
              </w:rPr>
              <w:t>A global structural transformation in the energy system, involving the shift from fossil fuels to renewable energy sources and low-carbon emission technologies.</w:t>
            </w:r>
          </w:p>
        </w:tc>
      </w:tr>
      <w:tr w:rsidR="00FC4C01" w:rsidRPr="00AD3C66" w14:paraId="65DCFAAF" w14:textId="77777777" w:rsidTr="00FC4C01">
        <w:trPr>
          <w:trHeight w:val="340"/>
        </w:trPr>
        <w:tc>
          <w:tcPr>
            <w:tcW w:w="2405" w:type="dxa"/>
            <w:vAlign w:val="center"/>
          </w:tcPr>
          <w:p w14:paraId="18F3BA0C" w14:textId="436D0414" w:rsidR="00FC4C01" w:rsidRPr="00C0671D" w:rsidRDefault="00C0671D" w:rsidP="009E60F1">
            <w:pPr>
              <w:spacing w:after="0" w:line="240" w:lineRule="auto"/>
              <w:rPr>
                <w:rFonts w:eastAsia="Arial Unicode MS"/>
                <w:b/>
                <w:lang w:val="en-US"/>
              </w:rPr>
            </w:pPr>
            <w:r>
              <w:rPr>
                <w:b/>
                <w:lang w:val="en-US"/>
              </w:rPr>
              <w:t xml:space="preserve">EPO </w:t>
            </w:r>
          </w:p>
        </w:tc>
        <w:tc>
          <w:tcPr>
            <w:tcW w:w="7800" w:type="dxa"/>
            <w:vAlign w:val="center"/>
          </w:tcPr>
          <w:p w14:paraId="59351E6C" w14:textId="4B5C7AAF" w:rsidR="00FC4C01" w:rsidRPr="00C0671D" w:rsidRDefault="00C0671D" w:rsidP="009E60F1">
            <w:pPr>
              <w:spacing w:after="0" w:line="240" w:lineRule="auto"/>
              <w:jc w:val="both"/>
              <w:rPr>
                <w:rFonts w:eastAsia="Arial Unicode MS"/>
                <w:lang w:val="en-US"/>
              </w:rPr>
            </w:pPr>
            <w:r>
              <w:rPr>
                <w:lang w:val="en-US"/>
              </w:rPr>
              <w:t xml:space="preserve">Energy producing organizations </w:t>
            </w:r>
          </w:p>
        </w:tc>
      </w:tr>
    </w:tbl>
    <w:p w14:paraId="698A0987" w14:textId="562D4DFB" w:rsidR="007A761E" w:rsidRDefault="007A761E" w:rsidP="00867314">
      <w:pPr>
        <w:spacing w:after="0" w:line="240" w:lineRule="auto"/>
        <w:contextualSpacing/>
        <w:rPr>
          <w:b/>
          <w:lang w:eastAsia="ru-RU"/>
        </w:rPr>
      </w:pPr>
    </w:p>
    <w:p w14:paraId="23156A41" w14:textId="77777777" w:rsidR="00867314" w:rsidRPr="00FC4C01" w:rsidRDefault="00867314" w:rsidP="00867314">
      <w:pPr>
        <w:spacing w:after="0" w:line="240" w:lineRule="auto"/>
        <w:contextualSpacing/>
        <w:rPr>
          <w:b/>
          <w:lang w:eastAsia="ru-RU"/>
        </w:rPr>
      </w:pPr>
    </w:p>
    <w:p w14:paraId="6F9C66D8" w14:textId="27FF802C" w:rsidR="001A2299" w:rsidRPr="005A16ED" w:rsidRDefault="00C36671" w:rsidP="00867314">
      <w:pPr>
        <w:pStyle w:val="10"/>
        <w:numPr>
          <w:ilvl w:val="0"/>
          <w:numId w:val="1"/>
        </w:numPr>
        <w:tabs>
          <w:tab w:val="left" w:pos="993"/>
        </w:tabs>
        <w:spacing w:before="0" w:line="240" w:lineRule="auto"/>
        <w:ind w:left="0" w:firstLine="709"/>
        <w:contextualSpacing/>
        <w:jc w:val="center"/>
        <w:rPr>
          <w:b/>
          <w:color w:val="auto"/>
          <w:sz w:val="24"/>
          <w:szCs w:val="28"/>
          <w:lang w:eastAsia="ru-RU"/>
        </w:rPr>
      </w:pPr>
      <w:bookmarkStart w:id="7" w:name="_Toc190447144"/>
      <w:r>
        <w:rPr>
          <w:b/>
          <w:color w:val="auto"/>
          <w:sz w:val="24"/>
          <w:szCs w:val="28"/>
          <w:lang w:val="en-US" w:eastAsia="ru-RU"/>
        </w:rPr>
        <w:t>Introduction</w:t>
      </w:r>
      <w:bookmarkEnd w:id="7"/>
    </w:p>
    <w:p w14:paraId="5E224E66" w14:textId="77777777" w:rsidR="00284945" w:rsidRDefault="00284945" w:rsidP="00867314">
      <w:pPr>
        <w:spacing w:after="0" w:line="240" w:lineRule="auto"/>
        <w:rPr>
          <w:lang w:eastAsia="ru-RU"/>
        </w:rPr>
      </w:pPr>
    </w:p>
    <w:p w14:paraId="1FD0F98E" w14:textId="77777777" w:rsidR="00C36671" w:rsidRDefault="00C36671" w:rsidP="00AB4C00">
      <w:pPr>
        <w:pStyle w:val="a3"/>
        <w:spacing w:before="0" w:beforeAutospacing="0" w:after="0" w:afterAutospacing="0"/>
        <w:ind w:firstLine="709"/>
        <w:rPr>
          <w:lang w:val="en-US"/>
        </w:rPr>
      </w:pPr>
      <w:r w:rsidRPr="00C36671">
        <w:rPr>
          <w:lang w:val="en-US"/>
        </w:rPr>
        <w:t>The energy sector is the primary source of anthropogenic greenhouse gas emissions, predominantly carbon dioxide, generated through the combustion of fossil fuels. Despite international agreements and national strategies aimed at reducing greenhouse gas emissions, global CO₂ emissions continue to rise, significantly exceeding permissible levels required to limit global warming to within 1.5°C.</w:t>
      </w:r>
    </w:p>
    <w:p w14:paraId="124E9FF7" w14:textId="5BC7ECB6" w:rsidR="00AB3F15" w:rsidRPr="00C36671" w:rsidRDefault="00C36671" w:rsidP="00AB4C00">
      <w:pPr>
        <w:pStyle w:val="a3"/>
        <w:spacing w:before="0" w:beforeAutospacing="0" w:after="0" w:afterAutospacing="0"/>
        <w:ind w:firstLine="709"/>
        <w:rPr>
          <w:rStyle w:val="s0"/>
          <w:color w:val="auto"/>
          <w:sz w:val="24"/>
          <w:szCs w:val="24"/>
          <w:lang w:val="en-US"/>
        </w:rPr>
      </w:pPr>
      <w:r w:rsidRPr="00C36671">
        <w:rPr>
          <w:lang w:val="en-US"/>
        </w:rPr>
        <w:t>The Republic of Kazakhstan is among the major contributors to anthropogenic greenhouse gas emissions in the global energy sector. According to international rankings, the country is among the top 30 emitters, ranking 11th in carbon intensity of GDP and 13th in CO₂ emissions per capita</w:t>
      </w:r>
      <w:r w:rsidR="0026360E" w:rsidRPr="00A71B88">
        <w:rPr>
          <w:rStyle w:val="afe"/>
          <w:color w:val="000000"/>
          <w:spacing w:val="2"/>
        </w:rPr>
        <w:footnoteReference w:id="1"/>
      </w:r>
      <w:r w:rsidR="00AB3F15" w:rsidRPr="00C36671">
        <w:rPr>
          <w:rStyle w:val="s0"/>
          <w:spacing w:val="2"/>
          <w:sz w:val="24"/>
          <w:szCs w:val="24"/>
          <w:lang w:val="en-US"/>
        </w:rPr>
        <w:t>.</w:t>
      </w:r>
    </w:p>
    <w:p w14:paraId="643E5A02" w14:textId="77777777" w:rsidR="00AB4C00" w:rsidRPr="00AB4C00" w:rsidRDefault="00AB4C00" w:rsidP="00AB4C00">
      <w:pPr>
        <w:pStyle w:val="a3"/>
        <w:spacing w:before="0" w:beforeAutospacing="0" w:after="0" w:afterAutospacing="0"/>
        <w:ind w:firstLine="708"/>
        <w:rPr>
          <w:lang w:val="en-US"/>
        </w:rPr>
      </w:pPr>
      <w:r w:rsidRPr="00AB4C00">
        <w:rPr>
          <w:lang w:val="en-US"/>
        </w:rPr>
        <w:t>However, the Republic of Kazakhstan demonstrates consistent commitment to combating climate change. The country joined the United Nations Framework Convention on Climate Change (UNFCCC) in 1995, ratified the Kyoto Protocol in 2009, and the Paris Agreement in 2016. Under the Paris Agreement, Kazakhstan pledged to reduce greenhouse gas emissions by 15% below 1990 levels by 2030 as an unconditional target, and by 25% contingent on receiving additional international assistance (conditional target).</w:t>
      </w:r>
    </w:p>
    <w:p w14:paraId="470FF75C" w14:textId="77777777" w:rsidR="00AB4C00" w:rsidRPr="00AB4C00" w:rsidRDefault="00AB4C00" w:rsidP="00AB4C00">
      <w:pPr>
        <w:pStyle w:val="a3"/>
        <w:spacing w:before="0" w:beforeAutospacing="0" w:after="0" w:afterAutospacing="0"/>
        <w:ind w:firstLine="708"/>
        <w:rPr>
          <w:lang w:val="en-US"/>
        </w:rPr>
      </w:pPr>
      <w:r w:rsidRPr="00AB4C00">
        <w:rPr>
          <w:lang w:val="en-US"/>
        </w:rPr>
        <w:t xml:space="preserve">Additionally, during the Climate Ambition Summit in December 2020, the President of the Republic of Kazakhstan, </w:t>
      </w:r>
      <w:proofErr w:type="spellStart"/>
      <w:r w:rsidRPr="00AB4C00">
        <w:rPr>
          <w:lang w:val="en-US"/>
        </w:rPr>
        <w:t>Kassym-Jomart</w:t>
      </w:r>
      <w:proofErr w:type="spellEnd"/>
      <w:r w:rsidRPr="00AB4C00">
        <w:rPr>
          <w:lang w:val="en-US"/>
        </w:rPr>
        <w:t xml:space="preserve"> </w:t>
      </w:r>
      <w:proofErr w:type="spellStart"/>
      <w:r w:rsidRPr="00AB4C00">
        <w:rPr>
          <w:lang w:val="en-US"/>
        </w:rPr>
        <w:t>Tokayev</w:t>
      </w:r>
      <w:proofErr w:type="spellEnd"/>
      <w:r w:rsidRPr="00AB4C00">
        <w:rPr>
          <w:lang w:val="en-US"/>
        </w:rPr>
        <w:t>, announced the strategic initiative for the country to achieve carbon neutrality by 2060.</w:t>
      </w:r>
    </w:p>
    <w:p w14:paraId="4A916F32" w14:textId="77777777" w:rsidR="00AB4C00" w:rsidRPr="00AB4C00" w:rsidRDefault="00AB4C00" w:rsidP="00A4609B">
      <w:pPr>
        <w:pStyle w:val="a3"/>
        <w:spacing w:before="0" w:beforeAutospacing="0" w:after="0" w:afterAutospacing="0"/>
        <w:ind w:firstLine="708"/>
        <w:rPr>
          <w:lang w:val="en-US"/>
        </w:rPr>
      </w:pPr>
      <w:r w:rsidRPr="00AB4C00">
        <w:rPr>
          <w:lang w:val="en-US"/>
        </w:rPr>
        <w:lastRenderedPageBreak/>
        <w:t>In today’s context, decarbonization is seen not only as an environmental necessity but also as a strategic tool for ensuring long-term economic resilience and competitiveness.</w:t>
      </w:r>
    </w:p>
    <w:p w14:paraId="4863A4C9" w14:textId="023B2101" w:rsidR="00AB4C00" w:rsidRPr="00AB4C00" w:rsidRDefault="00AB4C00" w:rsidP="00A4609B">
      <w:pPr>
        <w:pStyle w:val="a3"/>
        <w:spacing w:before="0" w:beforeAutospacing="0" w:after="0" w:afterAutospacing="0"/>
        <w:ind w:firstLine="708"/>
        <w:rPr>
          <w:lang w:val="en-US"/>
        </w:rPr>
      </w:pPr>
      <w:r w:rsidRPr="00AB4C00">
        <w:rPr>
          <w:lang w:val="en-US"/>
        </w:rPr>
        <w:t xml:space="preserve">Taking into account global and national trends in climate policy, </w:t>
      </w:r>
      <w:r w:rsidR="00A4609B" w:rsidRPr="00A4609B">
        <w:rPr>
          <w:b/>
          <w:bCs/>
          <w:lang w:val="en-US"/>
        </w:rPr>
        <w:t>“</w:t>
      </w:r>
      <w:r w:rsidRPr="00A4609B">
        <w:rPr>
          <w:rStyle w:val="af5"/>
          <w:b w:val="0"/>
          <w:bCs w:val="0"/>
          <w:lang w:val="en-US"/>
        </w:rPr>
        <w:t>Samruk-Energ</w:t>
      </w:r>
      <w:r w:rsidR="00A4609B" w:rsidRPr="00A4609B">
        <w:rPr>
          <w:rStyle w:val="af5"/>
          <w:b w:val="0"/>
          <w:bCs w:val="0"/>
          <w:lang w:val="en-US"/>
        </w:rPr>
        <w:t>y”</w:t>
      </w:r>
      <w:r w:rsidRPr="00A4609B">
        <w:rPr>
          <w:rStyle w:val="af5"/>
          <w:b w:val="0"/>
          <w:bCs w:val="0"/>
          <w:lang w:val="en-US"/>
        </w:rPr>
        <w:t xml:space="preserve"> JSC</w:t>
      </w:r>
      <w:r w:rsidRPr="00AB4C00">
        <w:rPr>
          <w:lang w:val="en-US"/>
        </w:rPr>
        <w:t xml:space="preserve"> has developed a long-term Energy Transition Program. The first edition of Samruk-Energ</w:t>
      </w:r>
      <w:r w:rsidR="00A4609B">
        <w:rPr>
          <w:lang w:val="en-US"/>
        </w:rPr>
        <w:t>y</w:t>
      </w:r>
      <w:r w:rsidRPr="00AB4C00">
        <w:rPr>
          <w:lang w:val="en-US"/>
        </w:rPr>
        <w:t xml:space="preserve"> JSC's Energy Transition Program for 2022–2060 was approved by the company's Board of Directors on April 1, 2022 (Minutes No. 03/22). Revisions to the Program were made in 2022 (Board of Directors Minutes No. 13/22 dated October 28, 2022).</w:t>
      </w:r>
    </w:p>
    <w:p w14:paraId="31B581C5" w14:textId="53A6BDF7" w:rsidR="00AB4C00" w:rsidRPr="00AB4C00" w:rsidRDefault="00AB4C00" w:rsidP="00A4609B">
      <w:pPr>
        <w:pStyle w:val="a3"/>
        <w:spacing w:before="0" w:beforeAutospacing="0" w:after="0" w:afterAutospacing="0"/>
        <w:ind w:firstLine="567"/>
        <w:rPr>
          <w:lang w:val="en-US"/>
        </w:rPr>
      </w:pPr>
      <w:r w:rsidRPr="00AB4C00">
        <w:rPr>
          <w:lang w:val="en-US"/>
        </w:rPr>
        <w:t xml:space="preserve">To further advance sustainable development in accordance with the SDGs and to align existing goals with the specific objectives of the Paris Agreement—namely the 2°C and 1.5°C scenarios—as well as to reflect current trends and operational performance, </w:t>
      </w:r>
      <w:r w:rsidR="00A4609B">
        <w:rPr>
          <w:lang w:val="en-US"/>
        </w:rPr>
        <w:t>“</w:t>
      </w:r>
      <w:r w:rsidRPr="00AB4C00">
        <w:rPr>
          <w:lang w:val="en-US"/>
        </w:rPr>
        <w:t>Samruk-Energ</w:t>
      </w:r>
      <w:r w:rsidR="00A4609B">
        <w:rPr>
          <w:lang w:val="en-US"/>
        </w:rPr>
        <w:t>y”</w:t>
      </w:r>
      <w:r w:rsidRPr="00AB4C00">
        <w:rPr>
          <w:lang w:val="en-US"/>
        </w:rPr>
        <w:t xml:space="preserve"> JSC has developed the new (second) edition of its Energy Transition Program </w:t>
      </w:r>
      <w:r w:rsidR="00A4609B">
        <w:rPr>
          <w:lang w:val="en-US"/>
        </w:rPr>
        <w:t>up to</w:t>
      </w:r>
      <w:r w:rsidRPr="00AB4C00">
        <w:rPr>
          <w:lang w:val="en-US"/>
        </w:rPr>
        <w:t xml:space="preserve"> 2060.</w:t>
      </w:r>
    </w:p>
    <w:p w14:paraId="0772DF11" w14:textId="77777777" w:rsidR="00A4609B" w:rsidRPr="00A4609B" w:rsidRDefault="00A4609B" w:rsidP="00A4609B">
      <w:pPr>
        <w:spacing w:before="100" w:beforeAutospacing="1" w:after="100" w:afterAutospacing="1" w:line="240" w:lineRule="auto"/>
        <w:rPr>
          <w:i/>
          <w:iCs/>
          <w:sz w:val="24"/>
          <w:szCs w:val="24"/>
          <w:lang w:val="en-US" w:eastAsia="ru-RU"/>
        </w:rPr>
      </w:pPr>
      <w:r w:rsidRPr="00A4609B">
        <w:rPr>
          <w:i/>
          <w:iCs/>
          <w:sz w:val="24"/>
          <w:szCs w:val="24"/>
          <w:lang w:val="en-US" w:eastAsia="ru-RU"/>
        </w:rPr>
        <w:t>The key drivers of the energy transition have been global trends in combating climate change, including:</w:t>
      </w:r>
    </w:p>
    <w:p w14:paraId="5CE43D7B" w14:textId="3AFCE2D9" w:rsidR="00A4609B" w:rsidRPr="00A4609B" w:rsidRDefault="00A4609B" w:rsidP="00625A42">
      <w:pPr>
        <w:pStyle w:val="ab"/>
        <w:numPr>
          <w:ilvl w:val="0"/>
          <w:numId w:val="16"/>
        </w:numPr>
        <w:spacing w:before="100" w:beforeAutospacing="1" w:after="100" w:afterAutospacing="1"/>
        <w:rPr>
          <w:szCs w:val="24"/>
          <w:lang w:val="en-US"/>
        </w:rPr>
      </w:pPr>
      <w:r w:rsidRPr="00A4609B">
        <w:rPr>
          <w:szCs w:val="24"/>
          <w:lang w:val="en-US"/>
        </w:rPr>
        <w:t>The Paris Agreement, adopted in December 2015 at the 21st Conference of the Parties to the UNFCCC, which aims to encourage nations worldwide to reduce greenhouse gas emissions and contribute to limiting the rise in global atmospheric temperature to no more than 2°C.</w:t>
      </w:r>
    </w:p>
    <w:p w14:paraId="3B177B44" w14:textId="77777777" w:rsidR="00A4609B" w:rsidRPr="00A4609B" w:rsidRDefault="00A4609B" w:rsidP="00625A42">
      <w:pPr>
        <w:numPr>
          <w:ilvl w:val="0"/>
          <w:numId w:val="16"/>
        </w:numPr>
        <w:spacing w:before="100" w:beforeAutospacing="1" w:after="100" w:afterAutospacing="1" w:line="240" w:lineRule="auto"/>
        <w:rPr>
          <w:sz w:val="24"/>
          <w:szCs w:val="24"/>
          <w:lang w:val="en-US" w:eastAsia="ru-RU"/>
        </w:rPr>
      </w:pPr>
      <w:r w:rsidRPr="00A4609B">
        <w:rPr>
          <w:sz w:val="24"/>
          <w:szCs w:val="24"/>
          <w:lang w:val="en-US" w:eastAsia="ru-RU"/>
        </w:rPr>
        <w:t>International carbon regulation and the introduction of the Carbon Border Adjustment Mechanism (CBAM) in the EU under the European Green Deal. This mechanism will have significant implications for the EU’s trading partners, including Kazakhstan. The CBAM regulation was adopted by the European Commission on August 17, 2023, came into effect on October 1, 2023, and will operate with a two-year transitional period until December 31, 2025. Following the transition period, starting January 1, 2026, importers to the European Union will be required to purchase CBAM certificates.</w:t>
      </w:r>
    </w:p>
    <w:p w14:paraId="0EE0A28B" w14:textId="77777777" w:rsidR="00A4609B" w:rsidRPr="00A4609B" w:rsidRDefault="00A4609B" w:rsidP="00625A42">
      <w:pPr>
        <w:numPr>
          <w:ilvl w:val="0"/>
          <w:numId w:val="16"/>
        </w:numPr>
        <w:spacing w:before="100" w:beforeAutospacing="1" w:after="100" w:afterAutospacing="1" w:line="240" w:lineRule="auto"/>
        <w:rPr>
          <w:sz w:val="24"/>
          <w:szCs w:val="24"/>
          <w:lang w:val="en-US" w:eastAsia="ru-RU"/>
        </w:rPr>
      </w:pPr>
      <w:r w:rsidRPr="00A4609B">
        <w:rPr>
          <w:sz w:val="24"/>
          <w:szCs w:val="24"/>
          <w:lang w:val="en-US" w:eastAsia="ru-RU"/>
        </w:rPr>
        <w:t>Commitment to the UN’s 17 Sustainable Development Goals, including those aimed at combating climate change and protecting the environment.</w:t>
      </w:r>
    </w:p>
    <w:p w14:paraId="5AC862DF" w14:textId="77777777" w:rsidR="00A4609B" w:rsidRPr="00A4609B" w:rsidRDefault="00A4609B" w:rsidP="00625A42">
      <w:pPr>
        <w:numPr>
          <w:ilvl w:val="0"/>
          <w:numId w:val="16"/>
        </w:numPr>
        <w:spacing w:before="100" w:beforeAutospacing="1" w:after="100" w:afterAutospacing="1" w:line="240" w:lineRule="auto"/>
        <w:rPr>
          <w:sz w:val="24"/>
          <w:szCs w:val="24"/>
          <w:lang w:val="en-US" w:eastAsia="ru-RU"/>
        </w:rPr>
      </w:pPr>
      <w:r w:rsidRPr="00A4609B">
        <w:rPr>
          <w:sz w:val="24"/>
          <w:szCs w:val="24"/>
          <w:lang w:val="en-US" w:eastAsia="ru-RU"/>
        </w:rPr>
        <w:t>Tightening of Kazakhstan’s Environmental Code, effective from July 1, 2021, which strengthened requirements for greenhouse gas emissions and introduced a national emissions trading system.</w:t>
      </w:r>
    </w:p>
    <w:p w14:paraId="6851C333" w14:textId="77777777" w:rsidR="00A4609B" w:rsidRPr="00A4609B" w:rsidRDefault="00A4609B" w:rsidP="00625A42">
      <w:pPr>
        <w:numPr>
          <w:ilvl w:val="0"/>
          <w:numId w:val="16"/>
        </w:numPr>
        <w:spacing w:before="100" w:beforeAutospacing="1" w:after="100" w:afterAutospacing="1" w:line="240" w:lineRule="auto"/>
        <w:rPr>
          <w:sz w:val="24"/>
          <w:szCs w:val="24"/>
          <w:lang w:val="en-US" w:eastAsia="ru-RU"/>
        </w:rPr>
      </w:pPr>
      <w:r w:rsidRPr="00A4609B">
        <w:rPr>
          <w:rStyle w:val="af5"/>
          <w:b w:val="0"/>
          <w:bCs w:val="0"/>
          <w:lang w:val="en-US"/>
        </w:rPr>
        <w:t>The annual Address to the People of Kazakhstan delivered on September 1, 2023,</w:t>
      </w:r>
      <w:r w:rsidRPr="00A4609B">
        <w:rPr>
          <w:lang w:val="en-US"/>
        </w:rPr>
        <w:t xml:space="preserve"> where President </w:t>
      </w:r>
      <w:proofErr w:type="spellStart"/>
      <w:r w:rsidRPr="00A4609B">
        <w:rPr>
          <w:lang w:val="en-US"/>
        </w:rPr>
        <w:t>Kassym-Jomart</w:t>
      </w:r>
      <w:proofErr w:type="spellEnd"/>
      <w:r w:rsidRPr="00A4609B">
        <w:rPr>
          <w:lang w:val="en-US"/>
        </w:rPr>
        <w:t xml:space="preserve"> </w:t>
      </w:r>
      <w:proofErr w:type="spellStart"/>
      <w:r w:rsidRPr="00A4609B">
        <w:rPr>
          <w:lang w:val="en-US"/>
        </w:rPr>
        <w:t>Tokayev</w:t>
      </w:r>
      <w:proofErr w:type="spellEnd"/>
      <w:r w:rsidRPr="00A4609B">
        <w:rPr>
          <w:lang w:val="en-US"/>
        </w:rPr>
        <w:t xml:space="preserve"> emphasized the importance of transitioning to carbon neutrality and implementing targeted measures in line with the Paris Agreement.</w:t>
      </w:r>
    </w:p>
    <w:p w14:paraId="2E924511" w14:textId="0B020A4C" w:rsidR="00A4609B" w:rsidRPr="00A4609B" w:rsidRDefault="00A4609B" w:rsidP="00625A42">
      <w:pPr>
        <w:numPr>
          <w:ilvl w:val="0"/>
          <w:numId w:val="16"/>
        </w:numPr>
        <w:spacing w:before="100" w:beforeAutospacing="1" w:after="100" w:afterAutospacing="1" w:line="240" w:lineRule="auto"/>
        <w:rPr>
          <w:sz w:val="24"/>
          <w:szCs w:val="24"/>
          <w:lang w:val="en-US" w:eastAsia="ru-RU"/>
        </w:rPr>
      </w:pPr>
      <w:r w:rsidRPr="00A4609B">
        <w:rPr>
          <w:sz w:val="24"/>
          <w:szCs w:val="24"/>
          <w:lang w:val="en-US" w:eastAsia="ru-RU"/>
        </w:rPr>
        <w:t>Kazakhstan’s commitment to the Global Methane Pledge, as announced by the Head of State at the COP28 World Climate Summit in Dubai in December 2023.</w:t>
      </w:r>
    </w:p>
    <w:p w14:paraId="3C706FE6" w14:textId="470656D4" w:rsidR="00A4609B" w:rsidRPr="00A4609B" w:rsidRDefault="00A4609B" w:rsidP="00A4609B">
      <w:pPr>
        <w:spacing w:before="100" w:beforeAutospacing="1" w:after="100" w:afterAutospacing="1" w:line="240" w:lineRule="auto"/>
        <w:rPr>
          <w:i/>
          <w:iCs/>
          <w:sz w:val="24"/>
          <w:szCs w:val="24"/>
          <w:lang w:val="en-US" w:eastAsia="ru-RU"/>
        </w:rPr>
      </w:pPr>
      <w:r w:rsidRPr="00A4609B">
        <w:rPr>
          <w:i/>
          <w:iCs/>
          <w:sz w:val="24"/>
          <w:szCs w:val="24"/>
          <w:lang w:val="en-US" w:eastAsia="ru-RU"/>
        </w:rPr>
        <w:t>This Program serves as a document that:</w:t>
      </w:r>
    </w:p>
    <w:p w14:paraId="40819269" w14:textId="7699775C" w:rsidR="00A4609B" w:rsidRPr="00A4609B" w:rsidRDefault="00D15A8E" w:rsidP="00625A42">
      <w:pPr>
        <w:numPr>
          <w:ilvl w:val="0"/>
          <w:numId w:val="17"/>
        </w:numPr>
        <w:spacing w:before="100" w:beforeAutospacing="1" w:after="100" w:afterAutospacing="1" w:line="240" w:lineRule="auto"/>
        <w:rPr>
          <w:sz w:val="24"/>
          <w:szCs w:val="24"/>
          <w:lang w:val="en-US" w:eastAsia="ru-RU"/>
        </w:rPr>
      </w:pPr>
      <w:r>
        <w:rPr>
          <w:sz w:val="24"/>
          <w:szCs w:val="24"/>
          <w:lang w:val="en-US" w:eastAsia="ru-RU"/>
        </w:rPr>
        <w:t>d</w:t>
      </w:r>
      <w:r w:rsidR="00A4609B" w:rsidRPr="00A4609B">
        <w:rPr>
          <w:sz w:val="24"/>
          <w:szCs w:val="24"/>
          <w:lang w:val="en-US" w:eastAsia="ru-RU"/>
        </w:rPr>
        <w:t>efines the key directions, goals, and objectives for the Company’s energy transition;</w:t>
      </w:r>
    </w:p>
    <w:p w14:paraId="45DAA767" w14:textId="1F93FC88" w:rsidR="00A4609B" w:rsidRPr="00A4609B" w:rsidRDefault="00D15A8E" w:rsidP="00625A42">
      <w:pPr>
        <w:numPr>
          <w:ilvl w:val="0"/>
          <w:numId w:val="17"/>
        </w:numPr>
        <w:spacing w:before="100" w:beforeAutospacing="1" w:after="100" w:afterAutospacing="1" w:line="240" w:lineRule="auto"/>
        <w:rPr>
          <w:sz w:val="24"/>
          <w:szCs w:val="24"/>
          <w:lang w:val="en-US" w:eastAsia="ru-RU"/>
        </w:rPr>
      </w:pPr>
      <w:r>
        <w:rPr>
          <w:sz w:val="24"/>
          <w:szCs w:val="24"/>
          <w:lang w:val="en-US" w:eastAsia="ru-RU"/>
        </w:rPr>
        <w:t>d</w:t>
      </w:r>
      <w:r w:rsidR="00A4609B" w:rsidRPr="00A4609B">
        <w:rPr>
          <w:sz w:val="24"/>
          <w:szCs w:val="24"/>
          <w:lang w:val="en-US" w:eastAsia="ru-RU"/>
        </w:rPr>
        <w:t>escribes scenario analysis for contributing to the limitation of the average global temperature increase to significantly below 1.5°C and achieving carbon neutrality by 2060;</w:t>
      </w:r>
    </w:p>
    <w:p w14:paraId="7054EB6A" w14:textId="6FF1C990" w:rsidR="00A4609B" w:rsidRPr="00A4609B" w:rsidRDefault="00D15A8E" w:rsidP="00625A42">
      <w:pPr>
        <w:numPr>
          <w:ilvl w:val="0"/>
          <w:numId w:val="17"/>
        </w:numPr>
        <w:spacing w:before="100" w:beforeAutospacing="1" w:after="100" w:afterAutospacing="1" w:line="240" w:lineRule="auto"/>
        <w:rPr>
          <w:sz w:val="24"/>
          <w:szCs w:val="24"/>
          <w:lang w:val="en-US" w:eastAsia="ru-RU"/>
        </w:rPr>
      </w:pPr>
      <w:r>
        <w:rPr>
          <w:sz w:val="24"/>
          <w:szCs w:val="24"/>
          <w:lang w:val="en-US" w:eastAsia="ru-RU"/>
        </w:rPr>
        <w:t>c</w:t>
      </w:r>
      <w:r w:rsidR="00A4609B" w:rsidRPr="00A4609B">
        <w:rPr>
          <w:sz w:val="24"/>
          <w:szCs w:val="24"/>
          <w:lang w:val="en-US" w:eastAsia="ru-RU"/>
        </w:rPr>
        <w:t>onsolidates the assessment of physical and transitional climate risks;</w:t>
      </w:r>
    </w:p>
    <w:p w14:paraId="04D828EA" w14:textId="74ECF9D2" w:rsidR="00A4609B" w:rsidRPr="00A4609B" w:rsidRDefault="00D15A8E" w:rsidP="00625A42">
      <w:pPr>
        <w:numPr>
          <w:ilvl w:val="0"/>
          <w:numId w:val="17"/>
        </w:numPr>
        <w:spacing w:before="100" w:beforeAutospacing="1" w:after="100" w:afterAutospacing="1" w:line="240" w:lineRule="auto"/>
        <w:rPr>
          <w:sz w:val="24"/>
          <w:szCs w:val="24"/>
          <w:lang w:val="en-US" w:eastAsia="ru-RU"/>
        </w:rPr>
      </w:pPr>
      <w:r>
        <w:rPr>
          <w:sz w:val="24"/>
          <w:szCs w:val="24"/>
          <w:lang w:val="en-US" w:eastAsia="ru-RU"/>
        </w:rPr>
        <w:t>e</w:t>
      </w:r>
      <w:r w:rsidR="00A4609B" w:rsidRPr="00A4609B">
        <w:rPr>
          <w:sz w:val="24"/>
          <w:szCs w:val="24"/>
          <w:lang w:val="en-US" w:eastAsia="ru-RU"/>
        </w:rPr>
        <w:t>stablishes time horizons for climate-related risks and opportunities;</w:t>
      </w:r>
    </w:p>
    <w:p w14:paraId="73A63F98" w14:textId="02E13296" w:rsidR="00A4609B" w:rsidRPr="00A4609B" w:rsidRDefault="00BB3315" w:rsidP="00625A42">
      <w:pPr>
        <w:numPr>
          <w:ilvl w:val="0"/>
          <w:numId w:val="17"/>
        </w:numPr>
        <w:spacing w:before="100" w:beforeAutospacing="1" w:after="100" w:afterAutospacing="1" w:line="240" w:lineRule="auto"/>
        <w:rPr>
          <w:sz w:val="24"/>
          <w:szCs w:val="24"/>
          <w:lang w:val="en-US" w:eastAsia="ru-RU"/>
        </w:rPr>
      </w:pPr>
      <w:r>
        <w:rPr>
          <w:sz w:val="24"/>
          <w:szCs w:val="24"/>
          <w:lang w:val="en-US" w:eastAsia="ru-RU"/>
        </w:rPr>
        <w:t>s</w:t>
      </w:r>
      <w:r w:rsidR="00A4609B" w:rsidRPr="00A4609B">
        <w:rPr>
          <w:sz w:val="24"/>
          <w:szCs w:val="24"/>
          <w:lang w:val="en-US" w:eastAsia="ru-RU"/>
        </w:rPr>
        <w:t>ets short-, medium-, and long-term target indicators.</w:t>
      </w:r>
    </w:p>
    <w:p w14:paraId="1E516D74" w14:textId="77777777" w:rsidR="00284945" w:rsidRPr="00A4609B" w:rsidRDefault="00284945" w:rsidP="009E60F1">
      <w:pPr>
        <w:pStyle w:val="ab"/>
        <w:pBdr>
          <w:top w:val="nil"/>
          <w:left w:val="nil"/>
          <w:bottom w:val="nil"/>
          <w:right w:val="nil"/>
          <w:between w:val="nil"/>
        </w:pBdr>
        <w:tabs>
          <w:tab w:val="left" w:pos="851"/>
        </w:tabs>
        <w:ind w:left="567"/>
        <w:rPr>
          <w:strike/>
          <w:color w:val="000000"/>
          <w:spacing w:val="2"/>
          <w:szCs w:val="24"/>
          <w:lang w:val="en-US"/>
        </w:rPr>
      </w:pPr>
    </w:p>
    <w:p w14:paraId="34E0C120" w14:textId="3A7A702E" w:rsidR="00C6117B" w:rsidRPr="00BB3315" w:rsidRDefault="00BB3315" w:rsidP="00625A42">
      <w:pPr>
        <w:pStyle w:val="10"/>
        <w:numPr>
          <w:ilvl w:val="1"/>
          <w:numId w:val="14"/>
        </w:numPr>
        <w:spacing w:before="0" w:line="240" w:lineRule="auto"/>
        <w:ind w:left="0" w:firstLine="709"/>
        <w:jc w:val="both"/>
        <w:rPr>
          <w:rStyle w:val="s0"/>
          <w:b/>
          <w:color w:val="auto"/>
          <w:spacing w:val="2"/>
          <w:sz w:val="24"/>
          <w:szCs w:val="24"/>
          <w:lang w:val="en-US"/>
        </w:rPr>
      </w:pPr>
      <w:bookmarkStart w:id="8" w:name="_Toc190447145"/>
      <w:r>
        <w:rPr>
          <w:b/>
          <w:color w:val="auto"/>
          <w:sz w:val="24"/>
          <w:szCs w:val="24"/>
          <w:lang w:val="en-US"/>
        </w:rPr>
        <w:t>“</w:t>
      </w:r>
      <w:r w:rsidRPr="00BB3315">
        <w:rPr>
          <w:b/>
          <w:color w:val="auto"/>
          <w:sz w:val="24"/>
          <w:szCs w:val="24"/>
          <w:lang w:val="en-US"/>
        </w:rPr>
        <w:t>Samruk-Energy</w:t>
      </w:r>
      <w:r>
        <w:rPr>
          <w:b/>
          <w:color w:val="auto"/>
          <w:sz w:val="24"/>
          <w:szCs w:val="24"/>
          <w:lang w:val="en-US"/>
        </w:rPr>
        <w:t>”</w:t>
      </w:r>
      <w:r w:rsidRPr="00BB3315">
        <w:rPr>
          <w:b/>
          <w:color w:val="auto"/>
          <w:sz w:val="24"/>
          <w:szCs w:val="24"/>
          <w:lang w:val="en-US"/>
        </w:rPr>
        <w:t xml:space="preserve"> JSC and </w:t>
      </w:r>
      <w:proofErr w:type="spellStart"/>
      <w:r>
        <w:rPr>
          <w:b/>
          <w:color w:val="auto"/>
          <w:sz w:val="24"/>
          <w:szCs w:val="24"/>
          <w:lang w:val="en-US"/>
        </w:rPr>
        <w:t>d</w:t>
      </w:r>
      <w:r w:rsidRPr="00BB3315">
        <w:rPr>
          <w:b/>
          <w:color w:val="auto"/>
          <w:sz w:val="24"/>
          <w:szCs w:val="24"/>
          <w:lang w:val="en-US"/>
        </w:rPr>
        <w:t>ecarbonization</w:t>
      </w:r>
      <w:proofErr w:type="spellEnd"/>
      <w:r w:rsidRPr="00BB3315">
        <w:rPr>
          <w:b/>
          <w:color w:val="auto"/>
          <w:sz w:val="24"/>
          <w:szCs w:val="24"/>
          <w:lang w:val="en-US"/>
        </w:rPr>
        <w:t xml:space="preserve">: </w:t>
      </w:r>
      <w:r>
        <w:rPr>
          <w:b/>
          <w:color w:val="auto"/>
          <w:sz w:val="24"/>
          <w:szCs w:val="24"/>
          <w:lang w:val="en-US"/>
        </w:rPr>
        <w:t>g</w:t>
      </w:r>
      <w:r w:rsidRPr="00BB3315">
        <w:rPr>
          <w:b/>
          <w:color w:val="auto"/>
          <w:sz w:val="24"/>
          <w:szCs w:val="24"/>
          <w:lang w:val="en-US"/>
        </w:rPr>
        <w:t xml:space="preserve">lobal </w:t>
      </w:r>
      <w:r>
        <w:rPr>
          <w:b/>
          <w:color w:val="auto"/>
          <w:sz w:val="24"/>
          <w:szCs w:val="24"/>
          <w:lang w:val="en-US"/>
        </w:rPr>
        <w:t>c</w:t>
      </w:r>
      <w:r w:rsidRPr="00BB3315">
        <w:rPr>
          <w:b/>
          <w:color w:val="auto"/>
          <w:sz w:val="24"/>
          <w:szCs w:val="24"/>
          <w:lang w:val="en-US"/>
        </w:rPr>
        <w:t xml:space="preserve">ontext and </w:t>
      </w:r>
      <w:r>
        <w:rPr>
          <w:b/>
          <w:color w:val="auto"/>
          <w:sz w:val="24"/>
          <w:szCs w:val="24"/>
          <w:lang w:val="en-US"/>
        </w:rPr>
        <w:t>l</w:t>
      </w:r>
      <w:r w:rsidRPr="00BB3315">
        <w:rPr>
          <w:b/>
          <w:color w:val="auto"/>
          <w:sz w:val="24"/>
          <w:szCs w:val="24"/>
          <w:lang w:val="en-US"/>
        </w:rPr>
        <w:t xml:space="preserve">ocal </w:t>
      </w:r>
      <w:r>
        <w:rPr>
          <w:b/>
          <w:color w:val="auto"/>
          <w:sz w:val="24"/>
          <w:szCs w:val="24"/>
          <w:lang w:val="en-US"/>
        </w:rPr>
        <w:t>i</w:t>
      </w:r>
      <w:r w:rsidRPr="00BB3315">
        <w:rPr>
          <w:b/>
          <w:color w:val="auto"/>
          <w:sz w:val="24"/>
          <w:szCs w:val="24"/>
          <w:lang w:val="en-US"/>
        </w:rPr>
        <w:t>nitiatives</w:t>
      </w:r>
      <w:bookmarkEnd w:id="8"/>
      <w:r w:rsidRPr="00BB3315">
        <w:rPr>
          <w:b/>
          <w:color w:val="auto"/>
          <w:sz w:val="24"/>
          <w:szCs w:val="24"/>
          <w:lang w:val="en-US"/>
        </w:rPr>
        <w:t xml:space="preserve"> </w:t>
      </w:r>
    </w:p>
    <w:p w14:paraId="2D5DB521" w14:textId="77777777" w:rsidR="00284945" w:rsidRPr="00BB3315" w:rsidRDefault="00284945" w:rsidP="009E60F1">
      <w:pPr>
        <w:spacing w:after="0" w:line="240" w:lineRule="auto"/>
        <w:ind w:firstLine="567"/>
        <w:jc w:val="both"/>
        <w:rPr>
          <w:spacing w:val="2"/>
          <w:sz w:val="24"/>
          <w:szCs w:val="24"/>
          <w:lang w:val="en-US"/>
        </w:rPr>
      </w:pPr>
    </w:p>
    <w:p w14:paraId="7EFA77EB" w14:textId="419BF14D" w:rsidR="00103667" w:rsidRDefault="00BB3315" w:rsidP="00A71B88">
      <w:pPr>
        <w:pBdr>
          <w:top w:val="nil"/>
          <w:left w:val="nil"/>
          <w:bottom w:val="nil"/>
          <w:right w:val="nil"/>
          <w:between w:val="nil"/>
        </w:pBdr>
        <w:tabs>
          <w:tab w:val="left" w:pos="1134"/>
        </w:tabs>
        <w:spacing w:after="0" w:line="240" w:lineRule="auto"/>
        <w:ind w:firstLine="709"/>
        <w:jc w:val="both"/>
        <w:rPr>
          <w:rStyle w:val="s0"/>
          <w:sz w:val="24"/>
          <w:szCs w:val="24"/>
        </w:rPr>
      </w:pPr>
      <w:r w:rsidRPr="00BB3315">
        <w:rPr>
          <w:lang w:val="en-US"/>
        </w:rPr>
        <w:t>In 2021, the largest global sources of CO₂ emissions were China, the United States, the 27 EU member states, India, and Japan, collectively accounting for 67.7% of global CO₂ emissions from fossil fuels. All of these countries increased their CO₂ emissions from fossil fuels in 2021 compared to 2020, with India and Russia showing the highest relative growth rates (10.5% and 8.1%, respectively). Aggregate global CO₂ emissions are illustrated in Graph 1.</w:t>
      </w:r>
    </w:p>
    <w:p w14:paraId="58A14AAD" w14:textId="77777777" w:rsidR="00867314" w:rsidRPr="00A71B88" w:rsidRDefault="00867314" w:rsidP="00A71B88">
      <w:pPr>
        <w:pBdr>
          <w:top w:val="nil"/>
          <w:left w:val="nil"/>
          <w:bottom w:val="nil"/>
          <w:right w:val="nil"/>
          <w:between w:val="nil"/>
        </w:pBdr>
        <w:tabs>
          <w:tab w:val="left" w:pos="1134"/>
        </w:tabs>
        <w:spacing w:after="0" w:line="240" w:lineRule="auto"/>
        <w:ind w:firstLine="709"/>
        <w:jc w:val="both"/>
        <w:rPr>
          <w:rStyle w:val="s0"/>
          <w:sz w:val="24"/>
          <w:szCs w:val="24"/>
        </w:rPr>
      </w:pPr>
    </w:p>
    <w:p w14:paraId="69D776C4" w14:textId="77777777" w:rsidR="00103667" w:rsidRDefault="00103667" w:rsidP="009E60F1">
      <w:pPr>
        <w:spacing w:after="0" w:line="240" w:lineRule="auto"/>
        <w:ind w:firstLine="567"/>
        <w:jc w:val="center"/>
        <w:rPr>
          <w:spacing w:val="2"/>
          <w:sz w:val="24"/>
          <w:szCs w:val="28"/>
        </w:rPr>
      </w:pPr>
      <w:r>
        <w:rPr>
          <w:noProof/>
          <w:lang w:eastAsia="ru-RU"/>
        </w:rPr>
        <w:lastRenderedPageBreak/>
        <w:drawing>
          <wp:inline distT="0" distB="0" distL="0" distR="0" wp14:anchorId="13350DEA" wp14:editId="5AF48B5C">
            <wp:extent cx="4772025" cy="21050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F43BE9" w14:textId="77777777" w:rsidR="009E60F1" w:rsidRDefault="009E60F1" w:rsidP="009E60F1">
      <w:pPr>
        <w:spacing w:after="0" w:line="240" w:lineRule="auto"/>
        <w:ind w:firstLine="567"/>
        <w:jc w:val="center"/>
        <w:rPr>
          <w:spacing w:val="2"/>
          <w:szCs w:val="24"/>
        </w:rPr>
      </w:pPr>
    </w:p>
    <w:p w14:paraId="15757045" w14:textId="77777777" w:rsidR="00771E0A" w:rsidRDefault="00917AC8" w:rsidP="009E60F1">
      <w:pPr>
        <w:spacing w:after="0" w:line="240" w:lineRule="auto"/>
        <w:ind w:firstLine="567"/>
        <w:jc w:val="center"/>
        <w:rPr>
          <w:spacing w:val="2"/>
          <w:szCs w:val="24"/>
          <w:lang w:val="en-US"/>
        </w:rPr>
      </w:pPr>
      <w:r>
        <w:rPr>
          <w:spacing w:val="2"/>
          <w:szCs w:val="24"/>
          <w:lang w:val="en-US"/>
        </w:rPr>
        <w:t>Chart</w:t>
      </w:r>
    </w:p>
    <w:p w14:paraId="79AB1309" w14:textId="2D905764" w:rsidR="00211D3A" w:rsidRPr="00BB3315" w:rsidRDefault="00FC4C01" w:rsidP="009E60F1">
      <w:pPr>
        <w:spacing w:after="0" w:line="240" w:lineRule="auto"/>
        <w:ind w:firstLine="567"/>
        <w:jc w:val="center"/>
        <w:rPr>
          <w:spacing w:val="2"/>
          <w:szCs w:val="24"/>
          <w:lang w:val="en-US"/>
        </w:rPr>
      </w:pPr>
      <w:r w:rsidRPr="00BB3315">
        <w:rPr>
          <w:spacing w:val="2"/>
          <w:szCs w:val="24"/>
          <w:lang w:val="en-US"/>
        </w:rPr>
        <w:t xml:space="preserve"> 1.</w:t>
      </w:r>
      <w:r w:rsidR="00211D3A" w:rsidRPr="00BB3315">
        <w:rPr>
          <w:spacing w:val="2"/>
          <w:szCs w:val="24"/>
          <w:lang w:val="en-US"/>
        </w:rPr>
        <w:t xml:space="preserve"> </w:t>
      </w:r>
      <w:r w:rsidR="00BB3315" w:rsidRPr="00BB3315">
        <w:rPr>
          <w:lang w:val="en-US"/>
        </w:rPr>
        <w:t>Aggregate global CO₂ emissions, in gigatons</w:t>
      </w:r>
      <w:r w:rsidR="00BB3315">
        <w:rPr>
          <w:lang w:val="en-US"/>
        </w:rPr>
        <w:t xml:space="preserve"> </w:t>
      </w:r>
      <w:r w:rsidR="00BB3315" w:rsidRPr="00BB3315">
        <w:rPr>
          <w:vertAlign w:val="superscript"/>
          <w:lang w:val="en-US"/>
        </w:rPr>
        <w:t>2</w:t>
      </w:r>
    </w:p>
    <w:p w14:paraId="330645B8" w14:textId="77777777" w:rsidR="009E60F1" w:rsidRPr="00BB3315" w:rsidRDefault="009E60F1" w:rsidP="009E60F1">
      <w:pPr>
        <w:spacing w:after="0" w:line="240" w:lineRule="auto"/>
        <w:ind w:firstLine="567"/>
        <w:jc w:val="center"/>
        <w:rPr>
          <w:spacing w:val="2"/>
          <w:sz w:val="24"/>
          <w:szCs w:val="28"/>
          <w:lang w:val="en-US"/>
        </w:rPr>
      </w:pPr>
    </w:p>
    <w:p w14:paraId="21E15519" w14:textId="7FC32FEC" w:rsidR="00284945" w:rsidRPr="00BB3315" w:rsidRDefault="00BB3315" w:rsidP="009E60F1">
      <w:pPr>
        <w:pStyle w:val="ab"/>
        <w:ind w:left="709"/>
        <w:rPr>
          <w:lang w:val="en-US"/>
        </w:rPr>
      </w:pPr>
      <w:r w:rsidRPr="00BB3315">
        <w:rPr>
          <w:szCs w:val="24"/>
          <w:lang w:val="en-US" w:eastAsia="en-US"/>
        </w:rPr>
        <w:t>Forecasts for the development of global energy over the coming decades vary, reflecting a wide range of possible future scenarios. However, 2023 studies show common trends towards 2050-2060: a reduction in coal consumption, an increase in demand for liquid fuels, and rapid growth in wind and solar energy (see Graph 2). Nevertheless, the exact pace and scale of these changes vary significantly depending on assumptions regarding policies, technologies, and other factors.</w:t>
      </w:r>
    </w:p>
    <w:p w14:paraId="5C8A5E0C" w14:textId="77777777" w:rsidR="00103667" w:rsidRDefault="00103667" w:rsidP="009E60F1">
      <w:pPr>
        <w:shd w:val="clear" w:color="auto" w:fill="FFFFFF"/>
        <w:spacing w:after="0" w:line="240" w:lineRule="auto"/>
        <w:ind w:firstLine="567"/>
        <w:jc w:val="center"/>
        <w:rPr>
          <w:spacing w:val="2"/>
          <w:sz w:val="24"/>
          <w:szCs w:val="28"/>
        </w:rPr>
      </w:pPr>
      <w:r>
        <w:rPr>
          <w:noProof/>
          <w:shd w:val="clear" w:color="auto" w:fill="FFFFFF"/>
          <w:lang w:eastAsia="ru-RU"/>
        </w:rPr>
        <w:drawing>
          <wp:inline distT="0" distB="0" distL="0" distR="0" wp14:anchorId="05FCC246" wp14:editId="57097459">
            <wp:extent cx="4076700" cy="2625505"/>
            <wp:effectExtent l="0" t="0" r="0" b="3810"/>
            <wp:docPr id="882999498" name="Picture 88299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6062" cy="2663736"/>
                    </a:xfrm>
                    <a:prstGeom prst="rect">
                      <a:avLst/>
                    </a:prstGeom>
                    <a:noFill/>
                  </pic:spPr>
                </pic:pic>
              </a:graphicData>
            </a:graphic>
          </wp:inline>
        </w:drawing>
      </w:r>
    </w:p>
    <w:p w14:paraId="4346D484" w14:textId="77777777" w:rsidR="009E60F1" w:rsidRDefault="009E60F1" w:rsidP="009E60F1">
      <w:pPr>
        <w:pStyle w:val="afb"/>
        <w:spacing w:before="0" w:after="0"/>
        <w:ind w:firstLine="567"/>
        <w:jc w:val="center"/>
        <w:rPr>
          <w:lang w:val="ru-RU"/>
        </w:rPr>
      </w:pPr>
    </w:p>
    <w:p w14:paraId="16C171C9" w14:textId="600FC9B1" w:rsidR="00284945" w:rsidRDefault="00917AC8" w:rsidP="00BB3315">
      <w:pPr>
        <w:pStyle w:val="afb"/>
        <w:spacing w:before="0" w:after="0"/>
        <w:ind w:firstLine="567"/>
        <w:jc w:val="center"/>
      </w:pPr>
      <w:r>
        <w:t>Chart</w:t>
      </w:r>
      <w:r w:rsidR="00FC4C01" w:rsidRPr="00BB3315">
        <w:t xml:space="preserve"> 2</w:t>
      </w:r>
      <w:r w:rsidR="00211D3A" w:rsidRPr="00BB3315">
        <w:t xml:space="preserve">. </w:t>
      </w:r>
      <w:r w:rsidR="00BB3315">
        <w:t xml:space="preserve">Forecasts for global electricity generation by energy source from 2021 to 2050, in </w:t>
      </w:r>
      <w:proofErr w:type="spellStart"/>
      <w:r w:rsidR="00BB3315">
        <w:t>TWh</w:t>
      </w:r>
      <w:proofErr w:type="spellEnd"/>
      <w:r w:rsidR="00BB3315">
        <w:t xml:space="preserve"> </w:t>
      </w:r>
      <w:r w:rsidR="00BB3315" w:rsidRPr="00BB3315">
        <w:rPr>
          <w:vertAlign w:val="superscript"/>
        </w:rPr>
        <w:t>3</w:t>
      </w:r>
    </w:p>
    <w:p w14:paraId="01B5E34A" w14:textId="77777777" w:rsidR="00BB3315" w:rsidRPr="00BB3315" w:rsidRDefault="00BB3315" w:rsidP="00BB3315">
      <w:pPr>
        <w:rPr>
          <w:lang w:val="en-US"/>
        </w:rPr>
      </w:pPr>
    </w:p>
    <w:p w14:paraId="31FD1305" w14:textId="77777777" w:rsidR="00BB3315" w:rsidRPr="0064641A" w:rsidRDefault="00BB3315" w:rsidP="00A71B88">
      <w:pPr>
        <w:pBdr>
          <w:top w:val="nil"/>
          <w:left w:val="nil"/>
          <w:bottom w:val="nil"/>
          <w:right w:val="nil"/>
          <w:between w:val="nil"/>
        </w:pBdr>
        <w:tabs>
          <w:tab w:val="left" w:pos="1134"/>
        </w:tabs>
        <w:spacing w:after="0" w:line="240" w:lineRule="auto"/>
        <w:ind w:firstLine="709"/>
        <w:jc w:val="both"/>
        <w:rPr>
          <w:sz w:val="24"/>
          <w:szCs w:val="24"/>
          <w:lang w:val="en-US"/>
        </w:rPr>
      </w:pPr>
    </w:p>
    <w:p w14:paraId="37090465" w14:textId="3AE5B4B4" w:rsidR="00BB3315" w:rsidRPr="0064641A" w:rsidRDefault="00BB3315" w:rsidP="00A71B88">
      <w:pPr>
        <w:pBdr>
          <w:top w:val="nil"/>
          <w:left w:val="nil"/>
          <w:bottom w:val="nil"/>
          <w:right w:val="nil"/>
          <w:between w:val="nil"/>
        </w:pBdr>
        <w:tabs>
          <w:tab w:val="left" w:pos="1134"/>
        </w:tabs>
        <w:spacing w:after="0" w:line="240" w:lineRule="auto"/>
        <w:ind w:firstLine="709"/>
        <w:jc w:val="both"/>
        <w:rPr>
          <w:sz w:val="24"/>
          <w:szCs w:val="24"/>
          <w:lang w:val="en-US"/>
        </w:rPr>
      </w:pPr>
      <w:r w:rsidRPr="0064641A">
        <w:rPr>
          <w:sz w:val="24"/>
          <w:szCs w:val="24"/>
          <w:lang w:val="en-US"/>
        </w:rPr>
        <w:t>__________________________</w:t>
      </w:r>
    </w:p>
    <w:p w14:paraId="195241DF" w14:textId="56C12EC4" w:rsidR="00BB3315" w:rsidRPr="0064641A" w:rsidRDefault="00BB3315" w:rsidP="00A71B88">
      <w:pPr>
        <w:pBdr>
          <w:top w:val="nil"/>
          <w:left w:val="nil"/>
          <w:bottom w:val="nil"/>
          <w:right w:val="nil"/>
          <w:between w:val="nil"/>
        </w:pBdr>
        <w:tabs>
          <w:tab w:val="left" w:pos="1134"/>
        </w:tabs>
        <w:spacing w:after="0" w:line="240" w:lineRule="auto"/>
        <w:ind w:firstLine="709"/>
        <w:jc w:val="both"/>
        <w:rPr>
          <w:sz w:val="24"/>
          <w:szCs w:val="24"/>
          <w:lang w:val="en-US"/>
        </w:rPr>
      </w:pPr>
      <w:r w:rsidRPr="0064641A">
        <w:rPr>
          <w:sz w:val="24"/>
          <w:szCs w:val="24"/>
          <w:vertAlign w:val="superscript"/>
          <w:lang w:val="en-US"/>
        </w:rPr>
        <w:t>2</w:t>
      </w:r>
      <w:r w:rsidR="008422A5" w:rsidRPr="0064641A">
        <w:rPr>
          <w:sz w:val="24"/>
          <w:szCs w:val="24"/>
          <w:lang w:val="en-US"/>
        </w:rPr>
        <w:t xml:space="preserve"> </w:t>
      </w:r>
      <w:r w:rsidR="00000B35">
        <w:fldChar w:fldCharType="begin"/>
      </w:r>
      <w:r w:rsidR="00000B35" w:rsidRPr="00000B35">
        <w:rPr>
          <w:lang w:val="en-US"/>
        </w:rPr>
        <w:instrText xml:space="preserve"> HYPERLINK "https://ranking.kz/digest/industries-digest/vybrosy-parnikovyh-gazov-v-mire-obzor-situacii.html" </w:instrText>
      </w:r>
      <w:r w:rsidR="00000B35">
        <w:fldChar w:fldCharType="separate"/>
      </w:r>
      <w:r w:rsidR="008422A5" w:rsidRPr="00760A29">
        <w:rPr>
          <w:rStyle w:val="a9"/>
          <w:sz w:val="24"/>
          <w:szCs w:val="24"/>
          <w:lang w:val="en-US"/>
        </w:rPr>
        <w:t>https</w:t>
      </w:r>
      <w:r w:rsidR="008422A5" w:rsidRPr="0064641A">
        <w:rPr>
          <w:rStyle w:val="a9"/>
          <w:sz w:val="24"/>
          <w:szCs w:val="24"/>
          <w:lang w:val="en-US"/>
        </w:rPr>
        <w:t>://</w:t>
      </w:r>
      <w:r w:rsidR="008422A5" w:rsidRPr="00760A29">
        <w:rPr>
          <w:rStyle w:val="a9"/>
          <w:sz w:val="24"/>
          <w:szCs w:val="24"/>
          <w:lang w:val="en-US"/>
        </w:rPr>
        <w:t>ranking</w:t>
      </w:r>
      <w:r w:rsidR="008422A5" w:rsidRPr="0064641A">
        <w:rPr>
          <w:rStyle w:val="a9"/>
          <w:sz w:val="24"/>
          <w:szCs w:val="24"/>
          <w:lang w:val="en-US"/>
        </w:rPr>
        <w:t>.</w:t>
      </w:r>
      <w:r w:rsidR="008422A5" w:rsidRPr="00760A29">
        <w:rPr>
          <w:rStyle w:val="a9"/>
          <w:sz w:val="24"/>
          <w:szCs w:val="24"/>
          <w:lang w:val="en-US"/>
        </w:rPr>
        <w:t>kz</w:t>
      </w:r>
      <w:r w:rsidR="008422A5" w:rsidRPr="0064641A">
        <w:rPr>
          <w:rStyle w:val="a9"/>
          <w:sz w:val="24"/>
          <w:szCs w:val="24"/>
          <w:lang w:val="en-US"/>
        </w:rPr>
        <w:t>/</w:t>
      </w:r>
      <w:r w:rsidR="008422A5" w:rsidRPr="00760A29">
        <w:rPr>
          <w:rStyle w:val="a9"/>
          <w:sz w:val="24"/>
          <w:szCs w:val="24"/>
          <w:lang w:val="en-US"/>
        </w:rPr>
        <w:t>digest</w:t>
      </w:r>
      <w:r w:rsidR="008422A5" w:rsidRPr="0064641A">
        <w:rPr>
          <w:rStyle w:val="a9"/>
          <w:sz w:val="24"/>
          <w:szCs w:val="24"/>
          <w:lang w:val="en-US"/>
        </w:rPr>
        <w:t>/</w:t>
      </w:r>
      <w:r w:rsidR="008422A5" w:rsidRPr="00760A29">
        <w:rPr>
          <w:rStyle w:val="a9"/>
          <w:sz w:val="24"/>
          <w:szCs w:val="24"/>
          <w:lang w:val="en-US"/>
        </w:rPr>
        <w:t>industries</w:t>
      </w:r>
      <w:r w:rsidR="008422A5" w:rsidRPr="0064641A">
        <w:rPr>
          <w:rStyle w:val="a9"/>
          <w:sz w:val="24"/>
          <w:szCs w:val="24"/>
          <w:lang w:val="en-US"/>
        </w:rPr>
        <w:t>-</w:t>
      </w:r>
      <w:r w:rsidR="008422A5" w:rsidRPr="00760A29">
        <w:rPr>
          <w:rStyle w:val="a9"/>
          <w:sz w:val="24"/>
          <w:szCs w:val="24"/>
          <w:lang w:val="en-US"/>
        </w:rPr>
        <w:t>digest</w:t>
      </w:r>
      <w:r w:rsidR="008422A5" w:rsidRPr="0064641A">
        <w:rPr>
          <w:rStyle w:val="a9"/>
          <w:sz w:val="24"/>
          <w:szCs w:val="24"/>
          <w:lang w:val="en-US"/>
        </w:rPr>
        <w:t>/</w:t>
      </w:r>
      <w:r w:rsidR="008422A5" w:rsidRPr="00760A29">
        <w:rPr>
          <w:rStyle w:val="a9"/>
          <w:sz w:val="24"/>
          <w:szCs w:val="24"/>
          <w:lang w:val="en-US"/>
        </w:rPr>
        <w:t>vybrosy</w:t>
      </w:r>
      <w:r w:rsidR="008422A5" w:rsidRPr="0064641A">
        <w:rPr>
          <w:rStyle w:val="a9"/>
          <w:sz w:val="24"/>
          <w:szCs w:val="24"/>
          <w:lang w:val="en-US"/>
        </w:rPr>
        <w:t>-</w:t>
      </w:r>
      <w:r w:rsidR="008422A5" w:rsidRPr="00760A29">
        <w:rPr>
          <w:rStyle w:val="a9"/>
          <w:sz w:val="24"/>
          <w:szCs w:val="24"/>
          <w:lang w:val="en-US"/>
        </w:rPr>
        <w:t>parnikovyh</w:t>
      </w:r>
      <w:r w:rsidR="008422A5" w:rsidRPr="0064641A">
        <w:rPr>
          <w:rStyle w:val="a9"/>
          <w:sz w:val="24"/>
          <w:szCs w:val="24"/>
          <w:lang w:val="en-US"/>
        </w:rPr>
        <w:t>-</w:t>
      </w:r>
      <w:r w:rsidR="008422A5" w:rsidRPr="00760A29">
        <w:rPr>
          <w:rStyle w:val="a9"/>
          <w:sz w:val="24"/>
          <w:szCs w:val="24"/>
          <w:lang w:val="en-US"/>
        </w:rPr>
        <w:t>gazov</w:t>
      </w:r>
      <w:r w:rsidR="008422A5" w:rsidRPr="0064641A">
        <w:rPr>
          <w:rStyle w:val="a9"/>
          <w:sz w:val="24"/>
          <w:szCs w:val="24"/>
          <w:lang w:val="en-US"/>
        </w:rPr>
        <w:t>-</w:t>
      </w:r>
      <w:r w:rsidR="008422A5" w:rsidRPr="00760A29">
        <w:rPr>
          <w:rStyle w:val="a9"/>
          <w:sz w:val="24"/>
          <w:szCs w:val="24"/>
          <w:lang w:val="en-US"/>
        </w:rPr>
        <w:t>v</w:t>
      </w:r>
      <w:r w:rsidR="008422A5" w:rsidRPr="0064641A">
        <w:rPr>
          <w:rStyle w:val="a9"/>
          <w:sz w:val="24"/>
          <w:szCs w:val="24"/>
          <w:lang w:val="en-US"/>
        </w:rPr>
        <w:t>-</w:t>
      </w:r>
      <w:r w:rsidR="008422A5" w:rsidRPr="00760A29">
        <w:rPr>
          <w:rStyle w:val="a9"/>
          <w:sz w:val="24"/>
          <w:szCs w:val="24"/>
          <w:lang w:val="en-US"/>
        </w:rPr>
        <w:t>mire</w:t>
      </w:r>
      <w:r w:rsidR="008422A5" w:rsidRPr="0064641A">
        <w:rPr>
          <w:rStyle w:val="a9"/>
          <w:sz w:val="24"/>
          <w:szCs w:val="24"/>
          <w:lang w:val="en-US"/>
        </w:rPr>
        <w:t>-</w:t>
      </w:r>
      <w:r w:rsidR="008422A5" w:rsidRPr="00760A29">
        <w:rPr>
          <w:rStyle w:val="a9"/>
          <w:sz w:val="24"/>
          <w:szCs w:val="24"/>
          <w:lang w:val="en-US"/>
        </w:rPr>
        <w:t>obzor</w:t>
      </w:r>
      <w:r w:rsidR="008422A5" w:rsidRPr="0064641A">
        <w:rPr>
          <w:rStyle w:val="a9"/>
          <w:sz w:val="24"/>
          <w:szCs w:val="24"/>
          <w:lang w:val="en-US"/>
        </w:rPr>
        <w:t>-</w:t>
      </w:r>
      <w:r w:rsidR="008422A5" w:rsidRPr="00760A29">
        <w:rPr>
          <w:rStyle w:val="a9"/>
          <w:sz w:val="24"/>
          <w:szCs w:val="24"/>
          <w:lang w:val="en-US"/>
        </w:rPr>
        <w:t>situacii</w:t>
      </w:r>
      <w:r w:rsidR="008422A5" w:rsidRPr="0064641A">
        <w:rPr>
          <w:rStyle w:val="a9"/>
          <w:sz w:val="24"/>
          <w:szCs w:val="24"/>
          <w:lang w:val="en-US"/>
        </w:rPr>
        <w:t>.</w:t>
      </w:r>
      <w:r w:rsidR="008422A5" w:rsidRPr="00760A29">
        <w:rPr>
          <w:rStyle w:val="a9"/>
          <w:sz w:val="24"/>
          <w:szCs w:val="24"/>
          <w:lang w:val="en-US"/>
        </w:rPr>
        <w:t>html</w:t>
      </w:r>
      <w:r w:rsidR="00000B35">
        <w:rPr>
          <w:rStyle w:val="a9"/>
          <w:sz w:val="24"/>
          <w:szCs w:val="24"/>
          <w:lang w:val="en-US"/>
        </w:rPr>
        <w:fldChar w:fldCharType="end"/>
      </w:r>
    </w:p>
    <w:p w14:paraId="3FE6C8BA" w14:textId="61ADE467" w:rsidR="008422A5" w:rsidRPr="008422A5" w:rsidRDefault="008422A5" w:rsidP="00A71B88">
      <w:pPr>
        <w:pBdr>
          <w:top w:val="nil"/>
          <w:left w:val="nil"/>
          <w:bottom w:val="nil"/>
          <w:right w:val="nil"/>
          <w:between w:val="nil"/>
        </w:pBdr>
        <w:tabs>
          <w:tab w:val="left" w:pos="1134"/>
        </w:tabs>
        <w:spacing w:after="0" w:line="240" w:lineRule="auto"/>
        <w:ind w:firstLine="709"/>
        <w:jc w:val="both"/>
        <w:rPr>
          <w:sz w:val="24"/>
          <w:szCs w:val="24"/>
          <w:vertAlign w:val="superscript"/>
          <w:lang w:val="en-US"/>
        </w:rPr>
      </w:pPr>
      <w:r w:rsidRPr="008422A5">
        <w:rPr>
          <w:sz w:val="24"/>
          <w:szCs w:val="24"/>
          <w:vertAlign w:val="superscript"/>
          <w:lang w:val="en-US"/>
        </w:rPr>
        <w:t xml:space="preserve">3 </w:t>
      </w:r>
      <w:proofErr w:type="spellStart"/>
      <w:r>
        <w:rPr>
          <w:sz w:val="24"/>
          <w:szCs w:val="24"/>
          <w:vertAlign w:val="superscript"/>
          <w:lang w:val="en-US"/>
        </w:rPr>
        <w:t>KPMG_SE_Strategy_Results</w:t>
      </w:r>
      <w:proofErr w:type="spellEnd"/>
      <w:r>
        <w:rPr>
          <w:sz w:val="24"/>
          <w:szCs w:val="24"/>
          <w:vertAlign w:val="superscript"/>
          <w:lang w:val="en-US"/>
        </w:rPr>
        <w:t xml:space="preserve"> of 1 and 2 stages, paragraph 1.1.1. “Review of global statistic and forecasts” </w:t>
      </w:r>
    </w:p>
    <w:p w14:paraId="741835F5" w14:textId="77777777" w:rsidR="00BB3315" w:rsidRPr="008422A5" w:rsidRDefault="00BB3315" w:rsidP="00A71B88">
      <w:pPr>
        <w:pBdr>
          <w:top w:val="nil"/>
          <w:left w:val="nil"/>
          <w:bottom w:val="nil"/>
          <w:right w:val="nil"/>
          <w:between w:val="nil"/>
        </w:pBdr>
        <w:tabs>
          <w:tab w:val="left" w:pos="1134"/>
        </w:tabs>
        <w:spacing w:after="0" w:line="240" w:lineRule="auto"/>
        <w:ind w:firstLine="709"/>
        <w:jc w:val="both"/>
        <w:rPr>
          <w:sz w:val="24"/>
          <w:szCs w:val="24"/>
          <w:lang w:val="en-US"/>
        </w:rPr>
      </w:pPr>
    </w:p>
    <w:p w14:paraId="6C8DF0BA" w14:textId="77777777" w:rsidR="00BB3315" w:rsidRPr="008422A5" w:rsidRDefault="00BB3315" w:rsidP="00A71B88">
      <w:pPr>
        <w:pBdr>
          <w:top w:val="nil"/>
          <w:left w:val="nil"/>
          <w:bottom w:val="nil"/>
          <w:right w:val="nil"/>
          <w:between w:val="nil"/>
        </w:pBdr>
        <w:tabs>
          <w:tab w:val="left" w:pos="1134"/>
        </w:tabs>
        <w:spacing w:after="0" w:line="240" w:lineRule="auto"/>
        <w:ind w:firstLine="709"/>
        <w:jc w:val="both"/>
        <w:rPr>
          <w:sz w:val="24"/>
          <w:szCs w:val="24"/>
          <w:lang w:val="en-US"/>
        </w:rPr>
      </w:pPr>
    </w:p>
    <w:p w14:paraId="6E9FC98E" w14:textId="77777777" w:rsidR="008422A5" w:rsidRPr="008422A5" w:rsidRDefault="008422A5" w:rsidP="008422A5">
      <w:pPr>
        <w:pStyle w:val="ab"/>
        <w:ind w:left="709" w:firstLine="707"/>
        <w:rPr>
          <w:szCs w:val="24"/>
          <w:lang w:val="en-US" w:eastAsia="en-US"/>
        </w:rPr>
      </w:pPr>
      <w:r w:rsidRPr="008422A5">
        <w:rPr>
          <w:szCs w:val="24"/>
          <w:lang w:val="en-US" w:eastAsia="en-US"/>
        </w:rPr>
        <w:t>The NZE, APS, and STEPS scenarios present different visions for the future of energy. NZE reflects the ambitious goal of achieving net-zero emissions by 2050. APS illustrates the potential outcomes based on the current commitments of countries, while STEPS shows the projected developments under the continuation of existing policies. A comparison of the NZE, APS, and STEPS scenarios helps assess the ambitions and actual actions of countries in the climate field (see Graph 3).</w:t>
      </w:r>
    </w:p>
    <w:p w14:paraId="45DD76D6" w14:textId="53371ED7" w:rsidR="009E60F1" w:rsidRPr="008422A5" w:rsidRDefault="008422A5" w:rsidP="008422A5">
      <w:pPr>
        <w:pStyle w:val="ab"/>
        <w:ind w:left="709" w:firstLine="707"/>
        <w:rPr>
          <w:lang w:val="en-US"/>
        </w:rPr>
      </w:pPr>
      <w:r w:rsidRPr="008422A5">
        <w:rPr>
          <w:szCs w:val="24"/>
          <w:lang w:val="en-US" w:eastAsia="en-US"/>
        </w:rPr>
        <w:t>In all of these scenarios, technological development plays a key role in addressing climate change. The majority of CO₂ emissions reductions in the near term will be achieved through existing technologies. However, to meet long-term climate goals, it will be necessary to accelerate the development and deployment of innovative solutions that can further reduce emissions.</w:t>
      </w:r>
    </w:p>
    <w:p w14:paraId="5C24BA5F" w14:textId="77777777" w:rsidR="00103667" w:rsidRDefault="00103667" w:rsidP="009E60F1">
      <w:pPr>
        <w:shd w:val="clear" w:color="auto" w:fill="FFFFFF"/>
        <w:spacing w:after="0" w:line="240" w:lineRule="auto"/>
        <w:jc w:val="center"/>
        <w:rPr>
          <w:sz w:val="24"/>
        </w:rPr>
      </w:pPr>
      <w:r>
        <w:rPr>
          <w:noProof/>
          <w:shd w:val="clear" w:color="auto" w:fill="FFFFFF"/>
          <w:lang w:eastAsia="ru-RU"/>
        </w:rPr>
        <w:drawing>
          <wp:inline distT="0" distB="0" distL="0" distR="0" wp14:anchorId="6F61E3D9" wp14:editId="196EF717">
            <wp:extent cx="3483346" cy="1725433"/>
            <wp:effectExtent l="0" t="0" r="3175" b="8255"/>
            <wp:docPr id="882999503" name="Picture 88299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903" cy="1730662"/>
                    </a:xfrm>
                    <a:prstGeom prst="rect">
                      <a:avLst/>
                    </a:prstGeom>
                    <a:noFill/>
                  </pic:spPr>
                </pic:pic>
              </a:graphicData>
            </a:graphic>
          </wp:inline>
        </w:drawing>
      </w:r>
    </w:p>
    <w:p w14:paraId="080EA50F" w14:textId="77777777" w:rsidR="009E60F1" w:rsidRDefault="009E60F1" w:rsidP="009E60F1">
      <w:pPr>
        <w:shd w:val="clear" w:color="auto" w:fill="FFFFFF"/>
        <w:spacing w:after="0" w:line="240" w:lineRule="auto"/>
        <w:jc w:val="center"/>
        <w:rPr>
          <w:sz w:val="24"/>
        </w:rPr>
      </w:pPr>
      <w:bookmarkStart w:id="9" w:name="_Ref170410688"/>
    </w:p>
    <w:bookmarkEnd w:id="9"/>
    <w:p w14:paraId="64ACFA59" w14:textId="178380C1" w:rsidR="00211D3A" w:rsidRPr="006901B3" w:rsidRDefault="00917AC8" w:rsidP="009E60F1">
      <w:pPr>
        <w:shd w:val="clear" w:color="auto" w:fill="FFFFFF"/>
        <w:spacing w:after="0" w:line="240" w:lineRule="auto"/>
        <w:jc w:val="center"/>
        <w:rPr>
          <w:sz w:val="24"/>
          <w:lang w:val="en-US"/>
        </w:rPr>
      </w:pPr>
      <w:r>
        <w:rPr>
          <w:sz w:val="24"/>
          <w:lang w:val="en-US"/>
        </w:rPr>
        <w:t>Chart</w:t>
      </w:r>
      <w:r w:rsidR="006901B3" w:rsidRPr="006901B3">
        <w:rPr>
          <w:sz w:val="24"/>
          <w:lang w:val="en-US"/>
        </w:rPr>
        <w:t xml:space="preserve"> 3. Carbon Dioxide (CO₂) Emissions in the </w:t>
      </w:r>
      <w:r w:rsidR="006901B3">
        <w:rPr>
          <w:sz w:val="24"/>
          <w:lang w:val="en-US"/>
        </w:rPr>
        <w:t>e</w:t>
      </w:r>
      <w:r w:rsidR="006901B3" w:rsidRPr="006901B3">
        <w:rPr>
          <w:sz w:val="24"/>
          <w:lang w:val="en-US"/>
        </w:rPr>
        <w:t xml:space="preserve">nergy </w:t>
      </w:r>
      <w:r w:rsidR="006901B3">
        <w:rPr>
          <w:sz w:val="24"/>
          <w:lang w:val="en-US"/>
        </w:rPr>
        <w:t>s</w:t>
      </w:r>
      <w:r w:rsidR="006901B3" w:rsidRPr="006901B3">
        <w:rPr>
          <w:sz w:val="24"/>
          <w:lang w:val="en-US"/>
        </w:rPr>
        <w:t xml:space="preserve">ector </w:t>
      </w:r>
      <w:r w:rsidR="006901B3">
        <w:rPr>
          <w:sz w:val="24"/>
          <w:lang w:val="en-US"/>
        </w:rPr>
        <w:t>a</w:t>
      </w:r>
      <w:r w:rsidR="006901B3" w:rsidRPr="006901B3">
        <w:rPr>
          <w:sz w:val="24"/>
          <w:lang w:val="en-US"/>
        </w:rPr>
        <w:t xml:space="preserve">cross </w:t>
      </w:r>
      <w:r w:rsidR="006901B3">
        <w:rPr>
          <w:sz w:val="24"/>
          <w:lang w:val="en-US"/>
        </w:rPr>
        <w:t>t</w:t>
      </w:r>
      <w:r w:rsidR="006901B3" w:rsidRPr="006901B3">
        <w:rPr>
          <w:sz w:val="24"/>
          <w:lang w:val="en-US"/>
        </w:rPr>
        <w:t xml:space="preserve">hree </w:t>
      </w:r>
      <w:r w:rsidR="006901B3">
        <w:rPr>
          <w:sz w:val="24"/>
          <w:lang w:val="en-US"/>
        </w:rPr>
        <w:t>s</w:t>
      </w:r>
      <w:r w:rsidR="006901B3" w:rsidRPr="006901B3">
        <w:rPr>
          <w:sz w:val="24"/>
          <w:lang w:val="en-US"/>
        </w:rPr>
        <w:t xml:space="preserve">cenarios, </w:t>
      </w:r>
      <w:r w:rsidR="006901B3">
        <w:rPr>
          <w:sz w:val="24"/>
          <w:lang w:val="en-US"/>
        </w:rPr>
        <w:t>G</w:t>
      </w:r>
      <w:r w:rsidR="006901B3" w:rsidRPr="006901B3">
        <w:rPr>
          <w:sz w:val="24"/>
          <w:lang w:val="en-US"/>
        </w:rPr>
        <w:t>t</w:t>
      </w:r>
    </w:p>
    <w:p w14:paraId="48ACF276" w14:textId="77777777" w:rsidR="006901B3" w:rsidRPr="0064641A" w:rsidRDefault="006901B3" w:rsidP="00A71B88">
      <w:pPr>
        <w:spacing w:after="0" w:line="240" w:lineRule="auto"/>
        <w:ind w:firstLine="709"/>
        <w:jc w:val="both"/>
        <w:rPr>
          <w:sz w:val="24"/>
          <w:szCs w:val="24"/>
          <w:lang w:val="en-US"/>
        </w:rPr>
      </w:pPr>
    </w:p>
    <w:p w14:paraId="3607E785" w14:textId="77777777" w:rsidR="006901B3" w:rsidRPr="006901B3" w:rsidRDefault="006901B3" w:rsidP="006901B3">
      <w:pPr>
        <w:pStyle w:val="a3"/>
        <w:spacing w:before="0" w:beforeAutospacing="0" w:after="0" w:afterAutospacing="0"/>
        <w:ind w:firstLine="708"/>
        <w:jc w:val="both"/>
        <w:rPr>
          <w:lang w:val="en-US"/>
        </w:rPr>
      </w:pPr>
      <w:r w:rsidRPr="006901B3">
        <w:rPr>
          <w:lang w:val="en-US"/>
        </w:rPr>
        <w:t>Kazakhstan, like many other countries, faces the acute challenge of the energy trilemma. The need to ensure reliable and affordable energy supply in the context of harsh climatic conditions and growing demand is complicated by outdated energy infrastructure and the limited potential of renewable energy sources (RES). The existing imbalance between price, reliability, and environmental sustainability of energy supply requires finding new solutions.</w:t>
      </w:r>
    </w:p>
    <w:p w14:paraId="6849AEE2" w14:textId="77777777" w:rsidR="006901B3" w:rsidRPr="006901B3" w:rsidRDefault="006901B3" w:rsidP="006901B3">
      <w:pPr>
        <w:pStyle w:val="a3"/>
        <w:spacing w:before="0" w:beforeAutospacing="0" w:after="0" w:afterAutospacing="0"/>
        <w:ind w:firstLine="426"/>
        <w:jc w:val="both"/>
        <w:rPr>
          <w:lang w:val="en-US"/>
        </w:rPr>
      </w:pPr>
      <w:r w:rsidRPr="006901B3">
        <w:rPr>
          <w:lang w:val="en-US"/>
        </w:rPr>
        <w:t>Currently, primary energy in Kazakhstan is primarily supplied through coal mining, crude oil, and natural gas extraction. The largest share of greenhouse gas emissions from primary energy supply comes from coal, both due to methane release from coal seams during extraction and emissions from combustion. Therefore, reducing and eventually phasing out coal extraction and combustion, or implementing CCUS technology, will be crucial for any efforts to decarbonize Kazakhstan’s economy. The dynamics of national greenhouse gas emissions are shown in Graph 4.</w:t>
      </w:r>
    </w:p>
    <w:p w14:paraId="6C286870" w14:textId="77777777" w:rsidR="00284945" w:rsidRPr="006901B3" w:rsidRDefault="00284945" w:rsidP="009E60F1">
      <w:pPr>
        <w:pStyle w:val="ab"/>
        <w:ind w:left="709"/>
        <w:rPr>
          <w:spacing w:val="2"/>
          <w:szCs w:val="28"/>
          <w:lang w:val="en-US"/>
        </w:rPr>
      </w:pPr>
    </w:p>
    <w:p w14:paraId="653B923D" w14:textId="77777777" w:rsidR="00675914" w:rsidRPr="0063579C" w:rsidRDefault="00675914" w:rsidP="009E60F1">
      <w:pPr>
        <w:shd w:val="clear" w:color="auto" w:fill="FFFFFF"/>
        <w:spacing w:after="0" w:line="240" w:lineRule="auto"/>
        <w:ind w:firstLine="426"/>
        <w:contextualSpacing/>
        <w:jc w:val="center"/>
        <w:rPr>
          <w:spacing w:val="2"/>
          <w:sz w:val="28"/>
          <w:szCs w:val="28"/>
        </w:rPr>
      </w:pPr>
      <w:r>
        <w:rPr>
          <w:noProof/>
          <w:lang w:eastAsia="ru-RU"/>
        </w:rPr>
        <w:drawing>
          <wp:inline distT="0" distB="0" distL="0" distR="0" wp14:anchorId="5109FF8D" wp14:editId="079DA808">
            <wp:extent cx="6013450" cy="1898650"/>
            <wp:effectExtent l="0" t="0" r="6350" b="63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660A3F" w14:textId="77777777" w:rsidR="009E60F1" w:rsidRDefault="009E60F1" w:rsidP="009E60F1">
      <w:pPr>
        <w:shd w:val="clear" w:color="auto" w:fill="FFFFFF"/>
        <w:spacing w:after="0" w:line="240" w:lineRule="auto"/>
        <w:ind w:firstLine="426"/>
        <w:contextualSpacing/>
        <w:jc w:val="center"/>
        <w:rPr>
          <w:spacing w:val="2"/>
          <w:sz w:val="24"/>
          <w:szCs w:val="28"/>
        </w:rPr>
      </w:pPr>
    </w:p>
    <w:p w14:paraId="1F193D99" w14:textId="0185D082" w:rsidR="00211D3A" w:rsidRPr="006901B3" w:rsidRDefault="00917AC8" w:rsidP="009E60F1">
      <w:pPr>
        <w:pBdr>
          <w:top w:val="nil"/>
          <w:left w:val="nil"/>
          <w:bottom w:val="nil"/>
          <w:right w:val="nil"/>
          <w:between w:val="nil"/>
        </w:pBdr>
        <w:spacing w:after="0" w:line="240" w:lineRule="auto"/>
        <w:ind w:firstLine="426"/>
        <w:jc w:val="both"/>
        <w:rPr>
          <w:sz w:val="24"/>
          <w:szCs w:val="20"/>
          <w:lang w:val="en-US" w:eastAsia="ru-RU"/>
        </w:rPr>
      </w:pPr>
      <w:r>
        <w:rPr>
          <w:lang w:val="en-US"/>
        </w:rPr>
        <w:t>Chart</w:t>
      </w:r>
      <w:r w:rsidR="006901B3" w:rsidRPr="006901B3">
        <w:rPr>
          <w:lang w:val="en-US"/>
        </w:rPr>
        <w:t xml:space="preserve"> 4. Dynamics of  </w:t>
      </w:r>
      <w:r w:rsidR="006901B3">
        <w:rPr>
          <w:lang w:val="en-US"/>
        </w:rPr>
        <w:t>na</w:t>
      </w:r>
      <w:r w:rsidR="006901B3" w:rsidRPr="006901B3">
        <w:rPr>
          <w:lang w:val="en-US"/>
        </w:rPr>
        <w:t xml:space="preserve">tional GHG </w:t>
      </w:r>
      <w:r w:rsidR="006901B3">
        <w:rPr>
          <w:lang w:val="en-US"/>
        </w:rPr>
        <w:t>e</w:t>
      </w:r>
      <w:r w:rsidR="006901B3" w:rsidRPr="006901B3">
        <w:rPr>
          <w:lang w:val="en-US"/>
        </w:rPr>
        <w:t xml:space="preserve">missions in the Republic of Kazakhstan </w:t>
      </w:r>
      <w:r w:rsidR="006901B3">
        <w:rPr>
          <w:lang w:val="en-US"/>
        </w:rPr>
        <w:t>e</w:t>
      </w:r>
      <w:r w:rsidR="006901B3" w:rsidRPr="006901B3">
        <w:rPr>
          <w:lang w:val="en-US"/>
        </w:rPr>
        <w:t>xcluding LULUCF.</w:t>
      </w:r>
    </w:p>
    <w:p w14:paraId="45CB749D" w14:textId="77777777" w:rsidR="006901B3" w:rsidRPr="006901B3" w:rsidRDefault="006901B3" w:rsidP="00A71B88">
      <w:pPr>
        <w:spacing w:after="0" w:line="240" w:lineRule="auto"/>
        <w:ind w:firstLine="709"/>
        <w:jc w:val="both"/>
        <w:rPr>
          <w:sz w:val="24"/>
          <w:szCs w:val="24"/>
          <w:lang w:val="en-US"/>
        </w:rPr>
      </w:pPr>
    </w:p>
    <w:p w14:paraId="04A16A04" w14:textId="322AD74B" w:rsidR="001F3ADB" w:rsidRPr="001F3ADB" w:rsidRDefault="001F3ADB" w:rsidP="001F3ADB">
      <w:pPr>
        <w:pStyle w:val="a3"/>
        <w:spacing w:before="0" w:beforeAutospacing="0" w:after="0" w:afterAutospacing="0"/>
        <w:jc w:val="both"/>
        <w:rPr>
          <w:lang w:val="en-US"/>
        </w:rPr>
      </w:pPr>
      <w:r w:rsidRPr="001F3ADB">
        <w:rPr>
          <w:lang w:val="en-US"/>
        </w:rPr>
        <w:t>"Samruk-Energy" JSC, as a key player in Kazakhstan's energy market, faces the challenge of balancing short-term energy security goals with long-term energy transition objectives. Given that the energy sector is the largest source of emissions in Kazakhstan, accounting for around 80% of the country’s total greenhouse gas emissions, and that "Samruk-Energy" JSC contributes 9% of these emissions, addressing the decarbonization of the company’s assets is a complex task. "Samruk-Energy" JSC includes major emitters such as three large energy production facilities—E</w:t>
      </w:r>
      <w:r>
        <w:rPr>
          <w:lang w:val="en-US"/>
        </w:rPr>
        <w:t>SDPP</w:t>
      </w:r>
      <w:r w:rsidRPr="001F3ADB">
        <w:rPr>
          <w:lang w:val="en-US"/>
        </w:rPr>
        <w:t xml:space="preserve">-1, </w:t>
      </w:r>
      <w:r>
        <w:rPr>
          <w:lang w:val="en-US"/>
        </w:rPr>
        <w:t>ESDPP</w:t>
      </w:r>
      <w:r w:rsidRPr="001F3ADB">
        <w:rPr>
          <w:lang w:val="en-US"/>
        </w:rPr>
        <w:t>-2</w:t>
      </w:r>
      <w:r>
        <w:rPr>
          <w:lang w:val="en-US"/>
        </w:rPr>
        <w:t xml:space="preserve"> Plant</w:t>
      </w:r>
      <w:r w:rsidRPr="001F3ADB">
        <w:rPr>
          <w:lang w:val="en-US"/>
        </w:rPr>
        <w:t xml:space="preserve">, and </w:t>
      </w:r>
      <w:r w:rsidR="00917AC8">
        <w:rPr>
          <w:lang w:val="en-US"/>
        </w:rPr>
        <w:t xml:space="preserve"> APP JSC</w:t>
      </w:r>
      <w:r w:rsidRPr="001F3ADB">
        <w:rPr>
          <w:lang w:val="en-US"/>
        </w:rPr>
        <w:t xml:space="preserve">—which generate electricity from traditional fuels (gas, coal), as well as one of the world’s largest open-pit coal mining companies, </w:t>
      </w:r>
      <w:proofErr w:type="spellStart"/>
      <w:r w:rsidRPr="001F3ADB">
        <w:rPr>
          <w:lang w:val="en-US"/>
        </w:rPr>
        <w:t>Bogatyr</w:t>
      </w:r>
      <w:proofErr w:type="spellEnd"/>
      <w:r w:rsidRPr="001F3ADB">
        <w:rPr>
          <w:lang w:val="en-US"/>
        </w:rPr>
        <w:t xml:space="preserve"> </w:t>
      </w:r>
      <w:proofErr w:type="spellStart"/>
      <w:r w:rsidRPr="001F3ADB">
        <w:rPr>
          <w:lang w:val="en-US"/>
        </w:rPr>
        <w:t>Komir</w:t>
      </w:r>
      <w:proofErr w:type="spellEnd"/>
      <w:r w:rsidRPr="001F3ADB">
        <w:rPr>
          <w:lang w:val="en-US"/>
        </w:rPr>
        <w:t xml:space="preserve"> LLP.</w:t>
      </w:r>
    </w:p>
    <w:p w14:paraId="3F6CCA6F" w14:textId="77777777" w:rsidR="001F3ADB" w:rsidRPr="001F3ADB" w:rsidRDefault="001F3ADB" w:rsidP="001F3ADB">
      <w:pPr>
        <w:pStyle w:val="a3"/>
        <w:spacing w:before="0" w:beforeAutospacing="0" w:after="0" w:afterAutospacing="0"/>
        <w:jc w:val="both"/>
        <w:rPr>
          <w:lang w:val="en-US"/>
        </w:rPr>
      </w:pPr>
      <w:r w:rsidRPr="001F3ADB">
        <w:rPr>
          <w:lang w:val="en-US"/>
        </w:rPr>
        <w:t>The challenges associated with the low cost of traditional energy resources and outdated infrastructure hinder the decarbonization process. At the same time, growing demand and climate change necessitate an accelerated transition to cleaner and more sustainable energy sources. The company plans to focus on the proactive development of renewable energy, infrastructure modernization, and improving energy efficiency.</w:t>
      </w:r>
    </w:p>
    <w:p w14:paraId="4B9EE564" w14:textId="27D0F444" w:rsidR="001F3ADB" w:rsidRPr="001F3ADB" w:rsidRDefault="008D44D3" w:rsidP="001F3ADB">
      <w:pPr>
        <w:pStyle w:val="a3"/>
        <w:spacing w:before="0" w:beforeAutospacing="0" w:after="0" w:afterAutospacing="0"/>
        <w:jc w:val="both"/>
        <w:rPr>
          <w:lang w:val="en-US"/>
        </w:rPr>
      </w:pPr>
      <w:r w:rsidRPr="008D44D3">
        <w:rPr>
          <w:lang w:val="en-US"/>
        </w:rPr>
        <w:t xml:space="preserve">         </w:t>
      </w:r>
      <w:r w:rsidR="001F3ADB" w:rsidRPr="001F3ADB">
        <w:rPr>
          <w:lang w:val="en-US"/>
        </w:rPr>
        <w:t>For the successful development and implementation of the Program, large-scale research into promising technologies, the assessment of ecosystem capabilities for absorbing greenhouse gases, and ensuring the reliability of data will be required. This will necessitate expanding the expertise of relevant ministries and the expert community in coordinating and justifying long-term state environmental policy decisions. The energy transition program holds significant importance, not only domestically but also internationally.</w:t>
      </w:r>
    </w:p>
    <w:p w14:paraId="29D2F87C" w14:textId="77777777" w:rsidR="001F3ADB" w:rsidRPr="001F3ADB" w:rsidRDefault="001F3ADB" w:rsidP="001F3ADB">
      <w:pPr>
        <w:pStyle w:val="a3"/>
        <w:spacing w:before="0" w:beforeAutospacing="0" w:after="0" w:afterAutospacing="0"/>
        <w:jc w:val="both"/>
        <w:rPr>
          <w:lang w:val="en-US"/>
        </w:rPr>
      </w:pPr>
      <w:r w:rsidRPr="001F3ADB">
        <w:rPr>
          <w:lang w:val="en-US"/>
        </w:rPr>
        <w:t>Looking ahead, the Program should be supported by numerous specific decisions and actions. Currently, the main development directions have been outlined, taking into account various scenarios. However, technological advancements, emerging environmental trends, and updates to legislation (such as carbon offset calculations, cross-border carbon taxes, taxonomy, etc.) will contribute to the ongoing adaptation and updating of the Program.</w:t>
      </w:r>
    </w:p>
    <w:p w14:paraId="41B854E1" w14:textId="77777777" w:rsidR="00284945" w:rsidRPr="001F3ADB" w:rsidRDefault="00284945" w:rsidP="009E60F1">
      <w:pPr>
        <w:spacing w:after="0" w:line="240" w:lineRule="auto"/>
        <w:rPr>
          <w:lang w:val="en-US"/>
        </w:rPr>
      </w:pPr>
    </w:p>
    <w:p w14:paraId="579D1919" w14:textId="031F7345" w:rsidR="00445909" w:rsidRPr="00917AC8" w:rsidRDefault="00917AC8" w:rsidP="006B400C">
      <w:pPr>
        <w:pStyle w:val="10"/>
        <w:numPr>
          <w:ilvl w:val="0"/>
          <w:numId w:val="1"/>
        </w:numPr>
        <w:tabs>
          <w:tab w:val="left" w:pos="993"/>
        </w:tabs>
        <w:spacing w:line="240" w:lineRule="auto"/>
        <w:ind w:left="0" w:firstLine="709"/>
        <w:contextualSpacing/>
        <w:jc w:val="center"/>
        <w:rPr>
          <w:b/>
          <w:color w:val="auto"/>
          <w:spacing w:val="2"/>
          <w:sz w:val="24"/>
          <w:szCs w:val="24"/>
          <w:lang w:val="en-US" w:eastAsia="ru-RU"/>
        </w:rPr>
      </w:pPr>
      <w:bookmarkStart w:id="10" w:name="_Toc190447146"/>
      <w:r>
        <w:rPr>
          <w:b/>
          <w:color w:val="auto"/>
          <w:spacing w:val="2"/>
          <w:sz w:val="24"/>
          <w:szCs w:val="24"/>
          <w:lang w:val="en-US" w:eastAsia="ru-RU"/>
        </w:rPr>
        <w:t>Area of operations and carbon footprint of the Company</w:t>
      </w:r>
      <w:bookmarkEnd w:id="10"/>
      <w:r>
        <w:rPr>
          <w:b/>
          <w:color w:val="auto"/>
          <w:spacing w:val="2"/>
          <w:sz w:val="24"/>
          <w:szCs w:val="24"/>
          <w:lang w:val="en-US" w:eastAsia="ru-RU"/>
        </w:rPr>
        <w:t xml:space="preserve"> </w:t>
      </w:r>
    </w:p>
    <w:p w14:paraId="40D8BA5C" w14:textId="77777777" w:rsidR="00284945" w:rsidRPr="00917AC8" w:rsidRDefault="00284945" w:rsidP="009E60F1">
      <w:pPr>
        <w:spacing w:after="0" w:line="240" w:lineRule="auto"/>
        <w:ind w:right="-1" w:firstLine="567"/>
        <w:contextualSpacing/>
        <w:jc w:val="both"/>
        <w:rPr>
          <w:sz w:val="24"/>
          <w:lang w:val="en-US"/>
        </w:rPr>
      </w:pPr>
    </w:p>
    <w:p w14:paraId="557232F0" w14:textId="41F98541" w:rsidR="00675914" w:rsidRPr="00917AC8" w:rsidRDefault="00917AC8" w:rsidP="00917AC8">
      <w:pPr>
        <w:tabs>
          <w:tab w:val="left" w:pos="1276"/>
        </w:tabs>
        <w:spacing w:after="0" w:line="240" w:lineRule="auto"/>
        <w:ind w:right="-1" w:firstLine="709"/>
        <w:jc w:val="both"/>
        <w:rPr>
          <w:spacing w:val="2"/>
          <w:sz w:val="24"/>
          <w:szCs w:val="24"/>
          <w:lang w:val="en-US"/>
        </w:rPr>
      </w:pPr>
      <w:r>
        <w:rPr>
          <w:lang w:val="en-US"/>
        </w:rPr>
        <w:t>T</w:t>
      </w:r>
      <w:r w:rsidRPr="00917AC8">
        <w:rPr>
          <w:lang w:val="en-US"/>
        </w:rPr>
        <w:t xml:space="preserve">he current </w:t>
      </w:r>
      <w:r>
        <w:rPr>
          <w:lang w:val="en-US"/>
        </w:rPr>
        <w:t>operations</w:t>
      </w:r>
      <w:r w:rsidRPr="00917AC8">
        <w:rPr>
          <w:lang w:val="en-US"/>
        </w:rPr>
        <w:t xml:space="preserve"> of "Samruk-Energy" JSC encompass coal mining, electricity and heat generation, including coal- and gas-fired stations, hydropower generation, and renewable energy facilities, as well as distribution and supply companies</w:t>
      </w:r>
      <w:r w:rsidR="004A31DC" w:rsidRPr="00A71B88">
        <w:rPr>
          <w:rStyle w:val="afe"/>
          <w:sz w:val="24"/>
          <w:szCs w:val="24"/>
        </w:rPr>
        <w:footnoteReference w:id="2"/>
      </w:r>
      <w:r w:rsidR="00675914" w:rsidRPr="00917AC8">
        <w:rPr>
          <w:sz w:val="24"/>
          <w:szCs w:val="24"/>
          <w:lang w:val="en-US"/>
        </w:rPr>
        <w:t>.</w:t>
      </w:r>
    </w:p>
    <w:p w14:paraId="37F129D5" w14:textId="6394D3BA" w:rsidR="00917AC8" w:rsidRPr="00917AC8" w:rsidRDefault="00917AC8" w:rsidP="00917AC8">
      <w:pPr>
        <w:spacing w:after="0" w:line="240" w:lineRule="auto"/>
        <w:ind w:firstLine="708"/>
        <w:rPr>
          <w:sz w:val="24"/>
          <w:szCs w:val="24"/>
          <w:lang w:val="en-US" w:eastAsia="ru-RU"/>
        </w:rPr>
      </w:pPr>
      <w:r w:rsidRPr="00917AC8">
        <w:rPr>
          <w:sz w:val="24"/>
          <w:szCs w:val="24"/>
          <w:lang w:val="en-US" w:eastAsia="ru-RU"/>
        </w:rPr>
        <w:t xml:space="preserve">As of </w:t>
      </w:r>
      <w:r>
        <w:rPr>
          <w:sz w:val="24"/>
          <w:szCs w:val="24"/>
          <w:lang w:val="en-US" w:eastAsia="ru-RU"/>
        </w:rPr>
        <w:t xml:space="preserve"> 2</w:t>
      </w:r>
      <w:r w:rsidRPr="00917AC8">
        <w:rPr>
          <w:sz w:val="24"/>
          <w:szCs w:val="24"/>
          <w:lang w:val="en-US" w:eastAsia="ru-RU"/>
        </w:rPr>
        <w:t>023, the company holds a 31.3% share of the domestic electricity market, generating more than 35.3 billion kWh. Approximately 91% of the company’s generating capacity is traditional generation, with around 8% derived from renewable energy and hydropower, and 1% from gas generation.</w:t>
      </w:r>
    </w:p>
    <w:p w14:paraId="39DEA7F9" w14:textId="77777777" w:rsidR="00917AC8" w:rsidRPr="00917AC8" w:rsidRDefault="00917AC8" w:rsidP="00917AC8">
      <w:pPr>
        <w:spacing w:after="0" w:line="240" w:lineRule="auto"/>
        <w:rPr>
          <w:sz w:val="24"/>
          <w:szCs w:val="24"/>
          <w:lang w:val="en-US" w:eastAsia="ru-RU"/>
        </w:rPr>
      </w:pPr>
      <w:r w:rsidRPr="00917AC8">
        <w:rPr>
          <w:sz w:val="24"/>
          <w:szCs w:val="24"/>
          <w:lang w:val="en-US" w:eastAsia="ru-RU"/>
        </w:rPr>
        <w:t>The company’s carbon footprint is primarily comprised of direct greenhouse gas emissions from electricity and heat production resulting from the combustion of fuels (coal, fuel oil, gas), as well as emissions associated with the coal mining process.</w:t>
      </w:r>
    </w:p>
    <w:p w14:paraId="5EFFE79F" w14:textId="1B5EDFDD" w:rsidR="00BE14FD" w:rsidRPr="00917AC8" w:rsidRDefault="00917AC8" w:rsidP="00A71B88">
      <w:pPr>
        <w:tabs>
          <w:tab w:val="left" w:pos="1276"/>
        </w:tabs>
        <w:spacing w:after="0" w:line="240" w:lineRule="auto"/>
        <w:ind w:firstLine="709"/>
        <w:jc w:val="both"/>
        <w:rPr>
          <w:spacing w:val="2"/>
          <w:sz w:val="24"/>
          <w:szCs w:val="24"/>
          <w:lang w:val="en-US"/>
        </w:rPr>
      </w:pPr>
      <w:r w:rsidRPr="00917AC8">
        <w:rPr>
          <w:spacing w:val="2"/>
          <w:sz w:val="24"/>
          <w:szCs w:val="24"/>
          <w:lang w:val="en-US"/>
        </w:rPr>
        <w:t>The majority of the company's greenhouse gas emissions consist of carbon dioxide</w:t>
      </w:r>
      <w:r w:rsidR="00625AF1" w:rsidRPr="00A71B88">
        <w:rPr>
          <w:rStyle w:val="afe"/>
          <w:spacing w:val="2"/>
          <w:sz w:val="24"/>
          <w:szCs w:val="24"/>
        </w:rPr>
        <w:footnoteReference w:id="3"/>
      </w:r>
      <w:r w:rsidR="005A16ED" w:rsidRPr="00917AC8">
        <w:rPr>
          <w:spacing w:val="2"/>
          <w:sz w:val="24"/>
          <w:szCs w:val="24"/>
          <w:lang w:val="en-US"/>
        </w:rPr>
        <w:t xml:space="preserve"> (</w:t>
      </w:r>
      <w:r>
        <w:rPr>
          <w:spacing w:val="2"/>
          <w:sz w:val="24"/>
          <w:szCs w:val="24"/>
          <w:lang w:val="en-US"/>
        </w:rPr>
        <w:t>graph 5</w:t>
      </w:r>
      <w:r w:rsidR="005A16ED" w:rsidRPr="00917AC8">
        <w:rPr>
          <w:spacing w:val="2"/>
          <w:sz w:val="24"/>
          <w:szCs w:val="24"/>
          <w:lang w:val="en-US"/>
        </w:rPr>
        <w:t>)</w:t>
      </w:r>
      <w:r w:rsidR="003C0B1C" w:rsidRPr="00917AC8">
        <w:rPr>
          <w:spacing w:val="2"/>
          <w:sz w:val="24"/>
          <w:szCs w:val="24"/>
          <w:lang w:val="en-US"/>
        </w:rPr>
        <w:t xml:space="preserve">. </w:t>
      </w:r>
    </w:p>
    <w:p w14:paraId="495F3DCE" w14:textId="77777777" w:rsidR="00BE14FD" w:rsidRPr="00934991" w:rsidRDefault="008E7F70" w:rsidP="009E60F1">
      <w:pPr>
        <w:spacing w:after="0" w:line="240" w:lineRule="auto"/>
        <w:ind w:firstLine="705"/>
        <w:jc w:val="center"/>
        <w:rPr>
          <w:spacing w:val="2"/>
          <w:sz w:val="28"/>
          <w:szCs w:val="28"/>
          <w:lang w:val="en-US"/>
        </w:rPr>
      </w:pPr>
      <w:r>
        <w:rPr>
          <w:noProof/>
          <w:lang w:eastAsia="ru-RU"/>
        </w:rPr>
        <w:drawing>
          <wp:inline distT="0" distB="0" distL="0" distR="0" wp14:anchorId="4643EC49" wp14:editId="36CC7AE5">
            <wp:extent cx="4429125" cy="170497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D2D0E4" w14:textId="77777777" w:rsidR="009E60F1" w:rsidRPr="009E60F1" w:rsidRDefault="009E60F1" w:rsidP="009E60F1">
      <w:pPr>
        <w:spacing w:after="0" w:line="240" w:lineRule="auto"/>
        <w:ind w:firstLine="426"/>
        <w:jc w:val="center"/>
        <w:rPr>
          <w:spacing w:val="2"/>
          <w:sz w:val="20"/>
          <w:szCs w:val="20"/>
          <w:highlight w:val="yellow"/>
        </w:rPr>
      </w:pPr>
    </w:p>
    <w:p w14:paraId="12A469DC" w14:textId="08761DF6" w:rsidR="00867314" w:rsidRPr="00917AC8" w:rsidRDefault="00917AC8" w:rsidP="00917AC8">
      <w:pPr>
        <w:tabs>
          <w:tab w:val="left" w:pos="1276"/>
        </w:tabs>
        <w:spacing w:after="0" w:line="240" w:lineRule="auto"/>
        <w:ind w:firstLine="709"/>
        <w:jc w:val="center"/>
        <w:rPr>
          <w:bCs/>
          <w:spacing w:val="2"/>
          <w:szCs w:val="24"/>
          <w:lang w:val="en-US"/>
        </w:rPr>
      </w:pPr>
      <w:r w:rsidRPr="00917AC8">
        <w:rPr>
          <w:lang w:val="en-US"/>
        </w:rPr>
        <w:t xml:space="preserve">Chart 5. Structure of GHG </w:t>
      </w:r>
      <w:r>
        <w:rPr>
          <w:lang w:val="en-US"/>
        </w:rPr>
        <w:t>e</w:t>
      </w:r>
      <w:r w:rsidRPr="00917AC8">
        <w:rPr>
          <w:lang w:val="en-US"/>
        </w:rPr>
        <w:t xml:space="preserve">missions (Scope 1), thousand </w:t>
      </w:r>
      <w:proofErr w:type="spellStart"/>
      <w:r w:rsidRPr="00917AC8">
        <w:rPr>
          <w:lang w:val="en-US"/>
        </w:rPr>
        <w:t>tonnes</w:t>
      </w:r>
      <w:proofErr w:type="spellEnd"/>
      <w:r w:rsidRPr="00917AC8">
        <w:rPr>
          <w:lang w:val="en-US"/>
        </w:rPr>
        <w:t xml:space="preserve"> of CO₂</w:t>
      </w:r>
    </w:p>
    <w:p w14:paraId="2D7758D3" w14:textId="77777777" w:rsidR="00917AC8" w:rsidRPr="00917AC8" w:rsidRDefault="00917AC8" w:rsidP="00A71B88">
      <w:pPr>
        <w:tabs>
          <w:tab w:val="left" w:pos="1276"/>
        </w:tabs>
        <w:spacing w:after="0" w:line="240" w:lineRule="auto"/>
        <w:ind w:firstLine="709"/>
        <w:jc w:val="both"/>
        <w:rPr>
          <w:bCs/>
          <w:spacing w:val="2"/>
          <w:szCs w:val="24"/>
          <w:lang w:val="en-US"/>
        </w:rPr>
      </w:pPr>
    </w:p>
    <w:p w14:paraId="7F4CC588" w14:textId="77777777" w:rsidR="00771E0A" w:rsidRPr="00771E0A" w:rsidRDefault="00771E0A" w:rsidP="00771E0A">
      <w:pPr>
        <w:spacing w:after="0" w:line="240" w:lineRule="auto"/>
        <w:jc w:val="both"/>
        <w:rPr>
          <w:sz w:val="24"/>
          <w:szCs w:val="24"/>
          <w:lang w:val="en-US" w:eastAsia="ru-RU"/>
        </w:rPr>
      </w:pPr>
      <w:r w:rsidRPr="00771E0A">
        <w:rPr>
          <w:sz w:val="24"/>
          <w:szCs w:val="24"/>
          <w:lang w:val="en-US" w:eastAsia="ru-RU"/>
        </w:rPr>
        <w:t>The requirements of the legislation of the Republic of Kazakhstan, international standards, and agreements define the need for the disclosure of greenhouse gas emissions as follows:</w:t>
      </w:r>
    </w:p>
    <w:p w14:paraId="3F42F382" w14:textId="77777777" w:rsidR="00771E0A" w:rsidRPr="00771E0A" w:rsidRDefault="00771E0A" w:rsidP="00625A42">
      <w:pPr>
        <w:numPr>
          <w:ilvl w:val="0"/>
          <w:numId w:val="18"/>
        </w:numPr>
        <w:spacing w:after="0" w:line="240" w:lineRule="auto"/>
        <w:jc w:val="both"/>
        <w:rPr>
          <w:sz w:val="24"/>
          <w:szCs w:val="24"/>
          <w:lang w:val="en-US" w:eastAsia="ru-RU"/>
        </w:rPr>
      </w:pPr>
      <w:r w:rsidRPr="00771E0A">
        <w:rPr>
          <w:b/>
          <w:bCs/>
          <w:sz w:val="24"/>
          <w:szCs w:val="24"/>
          <w:lang w:val="en-US" w:eastAsia="ru-RU"/>
        </w:rPr>
        <w:t>Scope 1</w:t>
      </w:r>
      <w:r w:rsidRPr="00771E0A">
        <w:rPr>
          <w:sz w:val="24"/>
          <w:szCs w:val="24"/>
          <w:lang w:val="en-US" w:eastAsia="ru-RU"/>
        </w:rPr>
        <w:t xml:space="preserve"> – direct greenhouse gas emissions from sources that are owned or controlled by the organization.</w:t>
      </w:r>
    </w:p>
    <w:p w14:paraId="06849ADF" w14:textId="77777777" w:rsidR="00771E0A" w:rsidRPr="00771E0A" w:rsidRDefault="00771E0A" w:rsidP="00625A42">
      <w:pPr>
        <w:numPr>
          <w:ilvl w:val="0"/>
          <w:numId w:val="18"/>
        </w:numPr>
        <w:spacing w:after="0" w:line="240" w:lineRule="auto"/>
        <w:jc w:val="both"/>
        <w:rPr>
          <w:sz w:val="24"/>
          <w:szCs w:val="24"/>
          <w:lang w:val="en-US" w:eastAsia="ru-RU"/>
        </w:rPr>
      </w:pPr>
      <w:r w:rsidRPr="00771E0A">
        <w:rPr>
          <w:b/>
          <w:bCs/>
          <w:sz w:val="24"/>
          <w:szCs w:val="24"/>
          <w:lang w:val="en-US" w:eastAsia="ru-RU"/>
        </w:rPr>
        <w:t>Scope 2</w:t>
      </w:r>
      <w:r w:rsidRPr="00771E0A">
        <w:rPr>
          <w:sz w:val="24"/>
          <w:szCs w:val="24"/>
          <w:lang w:val="en-US" w:eastAsia="ru-RU"/>
        </w:rPr>
        <w:t xml:space="preserve"> – energy indirect greenhouse gas emissions occurring during the production of purchased electricity and heat energy.</w:t>
      </w:r>
    </w:p>
    <w:p w14:paraId="28360BEB" w14:textId="77777777" w:rsidR="00771E0A" w:rsidRPr="00771E0A" w:rsidRDefault="00771E0A" w:rsidP="00625A42">
      <w:pPr>
        <w:numPr>
          <w:ilvl w:val="0"/>
          <w:numId w:val="18"/>
        </w:numPr>
        <w:spacing w:after="0" w:line="240" w:lineRule="auto"/>
        <w:jc w:val="both"/>
        <w:rPr>
          <w:sz w:val="24"/>
          <w:szCs w:val="24"/>
          <w:lang w:val="en-US" w:eastAsia="ru-RU"/>
        </w:rPr>
      </w:pPr>
      <w:r w:rsidRPr="00771E0A">
        <w:rPr>
          <w:b/>
          <w:bCs/>
          <w:sz w:val="24"/>
          <w:szCs w:val="24"/>
          <w:lang w:val="en-US" w:eastAsia="ru-RU"/>
        </w:rPr>
        <w:t>Scope 3</w:t>
      </w:r>
      <w:r w:rsidRPr="00771E0A">
        <w:rPr>
          <w:sz w:val="24"/>
          <w:szCs w:val="24"/>
          <w:lang w:val="en-US" w:eastAsia="ru-RU"/>
        </w:rPr>
        <w:t xml:space="preserve"> – other indirect greenhouse gas emissions not included in energy indirect emissions (Scope 2) that occur outside the organization. The Company is working on determining the boundaries of Scope 3 according to its specific activities.</w:t>
      </w:r>
    </w:p>
    <w:p w14:paraId="3C7404F9" w14:textId="77777777" w:rsidR="00771E0A" w:rsidRPr="00771E0A" w:rsidRDefault="00771E0A" w:rsidP="00771E0A">
      <w:pPr>
        <w:spacing w:after="0" w:line="240" w:lineRule="auto"/>
        <w:jc w:val="both"/>
        <w:rPr>
          <w:sz w:val="24"/>
          <w:szCs w:val="24"/>
          <w:lang w:val="en-US" w:eastAsia="ru-RU"/>
        </w:rPr>
      </w:pPr>
      <w:r w:rsidRPr="00771E0A">
        <w:rPr>
          <w:sz w:val="24"/>
          <w:szCs w:val="24"/>
          <w:lang w:val="en-US" w:eastAsia="ru-RU"/>
        </w:rPr>
        <w:t xml:space="preserve">When disclosing information, the Company adheres to the principles of consistency and comparability, continuously working to improve the completeness of the disclosed information and expand the reporting scope on indirect emissions of the second level (Scope 2). In 2023, the second-level indirect emissions amounted to 0.011 million </w:t>
      </w:r>
      <w:proofErr w:type="spellStart"/>
      <w:r w:rsidRPr="00771E0A">
        <w:rPr>
          <w:sz w:val="24"/>
          <w:szCs w:val="24"/>
          <w:lang w:val="en-US" w:eastAsia="ru-RU"/>
        </w:rPr>
        <w:t>tonnes</w:t>
      </w:r>
      <w:proofErr w:type="spellEnd"/>
      <w:r w:rsidRPr="00771E0A">
        <w:rPr>
          <w:sz w:val="24"/>
          <w:szCs w:val="24"/>
          <w:lang w:val="en-US" w:eastAsia="ru-RU"/>
        </w:rPr>
        <w:t xml:space="preserve"> of CO₂, including the consumption of electricity and heat from indirect sources purchased from third-party suppliers, which are not owned or controlled by the Company.</w:t>
      </w:r>
    </w:p>
    <w:p w14:paraId="49EF8CB0" w14:textId="77777777" w:rsidR="00771E0A" w:rsidRPr="00771E0A" w:rsidRDefault="00771E0A" w:rsidP="00771E0A">
      <w:pPr>
        <w:spacing w:after="0" w:line="240" w:lineRule="auto"/>
        <w:jc w:val="both"/>
        <w:rPr>
          <w:sz w:val="24"/>
          <w:szCs w:val="24"/>
          <w:lang w:val="en-US" w:eastAsia="ru-RU"/>
        </w:rPr>
      </w:pPr>
      <w:r w:rsidRPr="00771E0A">
        <w:rPr>
          <w:sz w:val="24"/>
          <w:szCs w:val="24"/>
          <w:lang w:val="en-US" w:eastAsia="ru-RU"/>
        </w:rPr>
        <w:t>Given the specific nature of the Company’s activities, the majority of emissions are attributed to Scope 1, which are a priority in reducing the carbon footprint (Chart 1).</w:t>
      </w:r>
    </w:p>
    <w:p w14:paraId="7CF37761" w14:textId="77777777" w:rsidR="009E60F1" w:rsidRPr="00771E0A" w:rsidRDefault="009E60F1" w:rsidP="009E60F1">
      <w:pPr>
        <w:pStyle w:val="ab"/>
        <w:tabs>
          <w:tab w:val="left" w:pos="1276"/>
        </w:tabs>
        <w:ind w:left="709"/>
        <w:rPr>
          <w:lang w:val="en-US"/>
        </w:rPr>
      </w:pPr>
    </w:p>
    <w:p w14:paraId="2337BD8D" w14:textId="77777777" w:rsidR="00536A6F" w:rsidRPr="0064641A" w:rsidRDefault="00536A6F" w:rsidP="009E60F1">
      <w:pPr>
        <w:pStyle w:val="Default"/>
        <w:jc w:val="center"/>
        <w:rPr>
          <w:rFonts w:ascii="Times New Roman" w:eastAsia="Times New Roman" w:hAnsi="Times New Roman" w:cs="Times New Roman"/>
          <w:color w:val="auto"/>
          <w:lang w:val="en-US"/>
        </w:rPr>
      </w:pPr>
      <w:r>
        <w:rPr>
          <w:noProof/>
          <w:lang w:eastAsia="ru-RU"/>
        </w:rPr>
        <w:drawing>
          <wp:inline distT="0" distB="0" distL="0" distR="0" wp14:anchorId="5D937CE1" wp14:editId="7E2AADD5">
            <wp:extent cx="3022600" cy="2368550"/>
            <wp:effectExtent l="0" t="0" r="635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B243F" w:rsidRPr="0064641A">
        <w:rPr>
          <w:noProof/>
          <w:lang w:val="en-US" w:eastAsia="ru-RU"/>
        </w:rPr>
        <w:t xml:space="preserve"> </w:t>
      </w:r>
      <w:r w:rsidR="000B243F">
        <w:rPr>
          <w:noProof/>
          <w:lang w:eastAsia="ru-RU"/>
        </w:rPr>
        <w:drawing>
          <wp:inline distT="0" distB="0" distL="0" distR="0" wp14:anchorId="465BCC60" wp14:editId="53709650">
            <wp:extent cx="3122295" cy="2334895"/>
            <wp:effectExtent l="0" t="0" r="1905"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6F80B2" w14:textId="77777777" w:rsidR="009E60F1" w:rsidRPr="0064641A" w:rsidRDefault="009E60F1" w:rsidP="009E60F1">
      <w:pPr>
        <w:pStyle w:val="Default"/>
        <w:jc w:val="center"/>
        <w:rPr>
          <w:rFonts w:ascii="Times New Roman" w:eastAsia="Times New Roman" w:hAnsi="Times New Roman" w:cs="Times New Roman"/>
          <w:color w:val="auto"/>
          <w:lang w:val="en-US"/>
        </w:rPr>
      </w:pPr>
    </w:p>
    <w:p w14:paraId="0BB8F10C" w14:textId="01646406" w:rsidR="006965B5" w:rsidRDefault="00771E0A" w:rsidP="00771E0A">
      <w:pPr>
        <w:spacing w:after="0" w:line="240" w:lineRule="auto"/>
        <w:ind w:firstLine="426"/>
        <w:jc w:val="center"/>
        <w:rPr>
          <w:lang w:val="en-US"/>
        </w:rPr>
      </w:pPr>
      <w:r>
        <w:rPr>
          <w:spacing w:val="2"/>
          <w:sz w:val="24"/>
          <w:szCs w:val="24"/>
          <w:lang w:val="en-US"/>
        </w:rPr>
        <w:t>Diagram</w:t>
      </w:r>
      <w:r w:rsidR="00536A6F" w:rsidRPr="00771E0A">
        <w:rPr>
          <w:spacing w:val="2"/>
          <w:sz w:val="24"/>
          <w:szCs w:val="24"/>
          <w:lang w:val="en-US"/>
        </w:rPr>
        <w:t xml:space="preserve"> </w:t>
      </w:r>
      <w:r w:rsidR="00FC4C01" w:rsidRPr="00771E0A">
        <w:rPr>
          <w:spacing w:val="2"/>
          <w:sz w:val="24"/>
          <w:szCs w:val="24"/>
          <w:lang w:val="en-US"/>
        </w:rPr>
        <w:t>1</w:t>
      </w:r>
      <w:r w:rsidR="00536A6F" w:rsidRPr="00771E0A">
        <w:rPr>
          <w:spacing w:val="2"/>
          <w:sz w:val="24"/>
          <w:szCs w:val="24"/>
          <w:lang w:val="en-US"/>
        </w:rPr>
        <w:t xml:space="preserve">. </w:t>
      </w:r>
      <w:r w:rsidRPr="00771E0A">
        <w:rPr>
          <w:lang w:val="en-US"/>
        </w:rPr>
        <w:t xml:space="preserve">Structure of </w:t>
      </w:r>
      <w:r>
        <w:rPr>
          <w:lang w:val="en-US"/>
        </w:rPr>
        <w:t>d</w:t>
      </w:r>
      <w:r w:rsidRPr="00771E0A">
        <w:rPr>
          <w:lang w:val="en-US"/>
        </w:rPr>
        <w:t xml:space="preserve">irect and </w:t>
      </w:r>
      <w:r>
        <w:rPr>
          <w:lang w:val="en-US"/>
        </w:rPr>
        <w:t>i</w:t>
      </w:r>
      <w:r w:rsidRPr="00771E0A">
        <w:rPr>
          <w:lang w:val="en-US"/>
        </w:rPr>
        <w:t xml:space="preserve">ndirect </w:t>
      </w:r>
      <w:r>
        <w:rPr>
          <w:lang w:val="en-US"/>
        </w:rPr>
        <w:t>e</w:t>
      </w:r>
      <w:r w:rsidRPr="00771E0A">
        <w:rPr>
          <w:lang w:val="en-US"/>
        </w:rPr>
        <w:t xml:space="preserve">missions, million </w:t>
      </w:r>
      <w:proofErr w:type="spellStart"/>
      <w:r w:rsidRPr="00771E0A">
        <w:rPr>
          <w:lang w:val="en-US"/>
        </w:rPr>
        <w:t>tonnes</w:t>
      </w:r>
      <w:proofErr w:type="spellEnd"/>
      <w:r w:rsidRPr="00771E0A">
        <w:rPr>
          <w:lang w:val="en-US"/>
        </w:rPr>
        <w:t xml:space="preserve"> of CO₂ (CO₂ equivalent)</w:t>
      </w:r>
    </w:p>
    <w:p w14:paraId="24C6A8AE" w14:textId="77777777" w:rsidR="00771E0A" w:rsidRPr="00771E0A" w:rsidRDefault="00771E0A" w:rsidP="00771E0A">
      <w:pPr>
        <w:spacing w:after="0" w:line="240" w:lineRule="auto"/>
        <w:ind w:firstLine="426"/>
        <w:jc w:val="center"/>
        <w:rPr>
          <w:sz w:val="24"/>
          <w:szCs w:val="24"/>
          <w:lang w:val="en-US"/>
        </w:rPr>
      </w:pPr>
    </w:p>
    <w:p w14:paraId="51041035" w14:textId="7D58E223" w:rsidR="00A91F93" w:rsidRPr="00C430F1" w:rsidRDefault="00C430F1" w:rsidP="00B51036">
      <w:pPr>
        <w:tabs>
          <w:tab w:val="left" w:pos="1276"/>
        </w:tabs>
        <w:spacing w:after="0" w:line="240" w:lineRule="auto"/>
        <w:ind w:firstLine="709"/>
        <w:jc w:val="both"/>
        <w:rPr>
          <w:sz w:val="24"/>
          <w:szCs w:val="28"/>
          <w:lang w:val="en-US"/>
        </w:rPr>
      </w:pPr>
      <w:r w:rsidRPr="00C430F1">
        <w:rPr>
          <w:lang w:val="en-US"/>
        </w:rPr>
        <w:t>The calculation and public disclosure of indirect emissions under Scope 3, as well as the establishment of targets for Scope 3, enable companies to transparently demonstrate their responsibility for all sources of emissions, including the supply chain. This provides companies with a clearer understanding of their climate impact. The company recognizes the importance of disclosing information on Scope 3, and therefore, plans to address this in 2025-2026</w:t>
      </w:r>
      <w:r w:rsidR="00B51036">
        <w:rPr>
          <w:lang w:val="en-US"/>
        </w:rPr>
        <w:t xml:space="preserve"> </w:t>
      </w:r>
      <w:r w:rsidR="00B51036" w:rsidRPr="00B51036">
        <w:rPr>
          <w:vertAlign w:val="superscript"/>
          <w:lang w:val="en-US"/>
        </w:rPr>
        <w:t>6</w:t>
      </w:r>
      <w:r w:rsidR="00A91F93" w:rsidRPr="00C430F1">
        <w:rPr>
          <w:sz w:val="24"/>
          <w:szCs w:val="28"/>
          <w:lang w:val="en-US"/>
        </w:rPr>
        <w:t xml:space="preserve"> </w:t>
      </w:r>
      <w:r w:rsidR="00B51036" w:rsidRPr="00B51036">
        <w:rPr>
          <w:lang w:val="en-US"/>
        </w:rPr>
        <w:t>A phased approach for accounting and monitoring Scope 3 emissions is planned, following the approval of the categorization.</w:t>
      </w:r>
      <w:r w:rsidR="00B51036" w:rsidRPr="00B51036">
        <w:rPr>
          <w:sz w:val="24"/>
          <w:szCs w:val="24"/>
          <w:lang w:val="en-US"/>
        </w:rPr>
        <w:t xml:space="preserve"> </w:t>
      </w:r>
      <w:r w:rsidR="00E64F57" w:rsidRPr="00A71B88">
        <w:rPr>
          <w:sz w:val="24"/>
          <w:szCs w:val="24"/>
        </w:rPr>
        <w:footnoteReference w:id="4"/>
      </w:r>
      <w:r w:rsidR="00A91F93" w:rsidRPr="00C430F1">
        <w:rPr>
          <w:sz w:val="24"/>
          <w:szCs w:val="28"/>
          <w:lang w:val="en-US"/>
        </w:rPr>
        <w:t>.</w:t>
      </w:r>
    </w:p>
    <w:p w14:paraId="6B885EDF" w14:textId="77777777" w:rsidR="00B51036" w:rsidRPr="00B51036" w:rsidRDefault="00B51036" w:rsidP="00B51036">
      <w:pPr>
        <w:spacing w:after="0" w:line="240" w:lineRule="auto"/>
        <w:rPr>
          <w:sz w:val="24"/>
          <w:szCs w:val="24"/>
          <w:lang w:val="en-US" w:eastAsia="ru-RU"/>
        </w:rPr>
      </w:pPr>
      <w:r w:rsidRPr="00B51036">
        <w:rPr>
          <w:sz w:val="24"/>
          <w:szCs w:val="24"/>
          <w:lang w:val="en-US" w:eastAsia="ru-RU"/>
        </w:rPr>
        <w:t>To define the scope of the Program, all subsidiaries were analyzed and grouped according to the characteristics of their core activities into the following segments:</w:t>
      </w:r>
    </w:p>
    <w:p w14:paraId="69AC7C88" w14:textId="2C4AD28A" w:rsidR="00B51036" w:rsidRPr="00B51036" w:rsidRDefault="00B51036" w:rsidP="00625A42">
      <w:pPr>
        <w:numPr>
          <w:ilvl w:val="0"/>
          <w:numId w:val="19"/>
        </w:numPr>
        <w:spacing w:after="0" w:line="240" w:lineRule="auto"/>
        <w:rPr>
          <w:sz w:val="24"/>
          <w:szCs w:val="24"/>
          <w:lang w:val="en-US" w:eastAsia="ru-RU"/>
        </w:rPr>
      </w:pPr>
      <w:r w:rsidRPr="00B51036">
        <w:rPr>
          <w:sz w:val="24"/>
          <w:szCs w:val="24"/>
          <w:lang w:val="en-US" w:eastAsia="ru-RU"/>
        </w:rPr>
        <w:t>Traditional energy generation (</w:t>
      </w:r>
      <w:r w:rsidR="005A6EC1">
        <w:rPr>
          <w:sz w:val="24"/>
          <w:szCs w:val="24"/>
          <w:lang w:val="en-US" w:eastAsia="ru-RU"/>
        </w:rPr>
        <w:t>SDPP</w:t>
      </w:r>
      <w:r w:rsidRPr="00B51036">
        <w:rPr>
          <w:sz w:val="24"/>
          <w:szCs w:val="24"/>
          <w:lang w:val="en-US" w:eastAsia="ru-RU"/>
        </w:rPr>
        <w:t xml:space="preserve">-1,2, </w:t>
      </w:r>
      <w:r w:rsidR="005A6EC1">
        <w:rPr>
          <w:sz w:val="24"/>
          <w:szCs w:val="24"/>
          <w:lang w:val="en-US" w:eastAsia="ru-RU"/>
        </w:rPr>
        <w:t>APP</w:t>
      </w:r>
      <w:r w:rsidRPr="00B51036">
        <w:rPr>
          <w:sz w:val="24"/>
          <w:szCs w:val="24"/>
          <w:lang w:val="en-US" w:eastAsia="ru-RU"/>
        </w:rPr>
        <w:t xml:space="preserve"> including planned projects for traditional generation);</w:t>
      </w:r>
    </w:p>
    <w:p w14:paraId="1932606D" w14:textId="77777777" w:rsidR="00B51036" w:rsidRPr="00B51036" w:rsidRDefault="00B51036" w:rsidP="00625A42">
      <w:pPr>
        <w:numPr>
          <w:ilvl w:val="0"/>
          <w:numId w:val="19"/>
        </w:numPr>
        <w:spacing w:after="0" w:line="240" w:lineRule="auto"/>
        <w:rPr>
          <w:sz w:val="24"/>
          <w:szCs w:val="24"/>
          <w:lang w:val="en-US" w:eastAsia="ru-RU"/>
        </w:rPr>
      </w:pPr>
      <w:r w:rsidRPr="00B51036">
        <w:rPr>
          <w:sz w:val="24"/>
          <w:szCs w:val="24"/>
          <w:lang w:val="en-US" w:eastAsia="ru-RU"/>
        </w:rPr>
        <w:t>Coal mining and processing (BK);</w:t>
      </w:r>
    </w:p>
    <w:p w14:paraId="3CA9E21B" w14:textId="6C595B67" w:rsidR="00B51036" w:rsidRDefault="00B51036" w:rsidP="00625A42">
      <w:pPr>
        <w:numPr>
          <w:ilvl w:val="0"/>
          <w:numId w:val="19"/>
        </w:numPr>
        <w:spacing w:after="0" w:line="240" w:lineRule="auto"/>
        <w:rPr>
          <w:sz w:val="24"/>
          <w:szCs w:val="24"/>
          <w:lang w:val="en-US" w:eastAsia="ru-RU"/>
        </w:rPr>
      </w:pPr>
      <w:r w:rsidRPr="00B51036">
        <w:rPr>
          <w:sz w:val="24"/>
          <w:szCs w:val="24"/>
          <w:lang w:val="en-US" w:eastAsia="ru-RU"/>
        </w:rPr>
        <w:t>Renewable energy generation (WPP, HPP, PSPP, SPP, including planned projects)</w:t>
      </w:r>
      <w:r w:rsidR="005A6EC1">
        <w:rPr>
          <w:sz w:val="24"/>
          <w:szCs w:val="24"/>
          <w:lang w:val="en-US" w:eastAsia="ru-RU"/>
        </w:rPr>
        <w:t>.</w:t>
      </w:r>
    </w:p>
    <w:p w14:paraId="038B102E" w14:textId="77777777" w:rsidR="00FE3B17" w:rsidRPr="00B51036" w:rsidRDefault="00FE3B17" w:rsidP="00FE3B17">
      <w:pPr>
        <w:spacing w:after="0" w:line="240" w:lineRule="auto"/>
        <w:rPr>
          <w:sz w:val="24"/>
          <w:szCs w:val="24"/>
          <w:lang w:val="en-US" w:eastAsia="ru-RU"/>
        </w:rPr>
      </w:pPr>
    </w:p>
    <w:p w14:paraId="13D628AD" w14:textId="77777777" w:rsidR="00867314" w:rsidRPr="00B51036" w:rsidRDefault="00867314" w:rsidP="00867314">
      <w:pPr>
        <w:pStyle w:val="af0"/>
        <w:tabs>
          <w:tab w:val="left" w:pos="993"/>
        </w:tabs>
        <w:spacing w:after="0"/>
        <w:ind w:left="709"/>
        <w:jc w:val="both"/>
        <w:rPr>
          <w:sz w:val="24"/>
          <w:lang w:val="en-US"/>
        </w:rPr>
      </w:pPr>
    </w:p>
    <w:p w14:paraId="3579F018" w14:textId="5F5EC0D0" w:rsidR="00484054" w:rsidRPr="00DB78D6" w:rsidRDefault="005A6EC1" w:rsidP="00867314">
      <w:pPr>
        <w:pStyle w:val="10"/>
        <w:numPr>
          <w:ilvl w:val="0"/>
          <w:numId w:val="1"/>
        </w:numPr>
        <w:tabs>
          <w:tab w:val="left" w:pos="993"/>
        </w:tabs>
        <w:spacing w:before="0" w:line="240" w:lineRule="auto"/>
        <w:ind w:left="0" w:firstLine="709"/>
        <w:contextualSpacing/>
        <w:jc w:val="center"/>
        <w:rPr>
          <w:b/>
          <w:color w:val="auto"/>
          <w:sz w:val="24"/>
          <w:szCs w:val="24"/>
        </w:rPr>
      </w:pPr>
      <w:bookmarkStart w:id="11" w:name="_Toc190447147"/>
      <w:r>
        <w:rPr>
          <w:b/>
          <w:color w:val="auto"/>
          <w:sz w:val="24"/>
          <w:szCs w:val="24"/>
          <w:lang w:val="en-US"/>
        </w:rPr>
        <w:t>Program scenarios</w:t>
      </w:r>
      <w:bookmarkEnd w:id="11"/>
    </w:p>
    <w:p w14:paraId="21FCAA81" w14:textId="77777777" w:rsidR="00DB78D6" w:rsidRDefault="00DB78D6" w:rsidP="00867314">
      <w:pPr>
        <w:spacing w:after="0" w:line="240" w:lineRule="auto"/>
        <w:ind w:firstLine="709"/>
        <w:jc w:val="both"/>
        <w:rPr>
          <w:sz w:val="24"/>
          <w:szCs w:val="24"/>
        </w:rPr>
      </w:pPr>
    </w:p>
    <w:p w14:paraId="460C9A90" w14:textId="45999C9E" w:rsidR="0004583A" w:rsidRDefault="003A07D2" w:rsidP="005A6EC1">
      <w:pPr>
        <w:spacing w:after="0" w:line="240" w:lineRule="auto"/>
        <w:contextualSpacing/>
        <w:jc w:val="both"/>
        <w:rPr>
          <w:lang w:val="en-US"/>
        </w:rPr>
      </w:pPr>
      <w:r w:rsidRPr="003A07D2">
        <w:rPr>
          <w:lang w:val="en-US"/>
        </w:rPr>
        <w:t xml:space="preserve">        </w:t>
      </w:r>
      <w:r w:rsidR="005A6EC1" w:rsidRPr="005A6EC1">
        <w:rPr>
          <w:lang w:val="en-US"/>
        </w:rPr>
        <w:t>In the pursuit of decarbonization goals, the Company faces both new opportunities and a range of external and internal challenges that define the main directions of the Program. Based on an analysis of the internal and external environment, a SWOT analysis of the Program has been prepared, as presented in Table 1.</w:t>
      </w:r>
    </w:p>
    <w:p w14:paraId="311A2DD8" w14:textId="77777777" w:rsidR="003A07D2" w:rsidRPr="005A6EC1" w:rsidRDefault="003A07D2" w:rsidP="005A6EC1">
      <w:pPr>
        <w:spacing w:after="0" w:line="240" w:lineRule="auto"/>
        <w:contextualSpacing/>
        <w:jc w:val="both"/>
        <w:rPr>
          <w:sz w:val="28"/>
          <w:szCs w:val="28"/>
          <w:lang w:val="en-US"/>
        </w:rPr>
      </w:pPr>
    </w:p>
    <w:p w14:paraId="6C9255F5" w14:textId="2DFFF4EA" w:rsidR="0004583A" w:rsidRPr="005A6EC1" w:rsidRDefault="005A6EC1" w:rsidP="009E60F1">
      <w:pPr>
        <w:spacing w:after="0" w:line="240" w:lineRule="auto"/>
        <w:contextualSpacing/>
        <w:rPr>
          <w:sz w:val="24"/>
          <w:szCs w:val="28"/>
          <w:lang w:val="en-US"/>
        </w:rPr>
      </w:pPr>
      <w:r>
        <w:rPr>
          <w:sz w:val="24"/>
          <w:szCs w:val="28"/>
          <w:lang w:val="en-US"/>
        </w:rPr>
        <w:t>Table</w:t>
      </w:r>
      <w:r w:rsidR="009E60F1" w:rsidRPr="005A6EC1">
        <w:rPr>
          <w:sz w:val="24"/>
          <w:szCs w:val="28"/>
          <w:lang w:val="en-US"/>
        </w:rPr>
        <w:t xml:space="preserve"> 1. </w:t>
      </w:r>
      <w:r w:rsidR="0004583A" w:rsidRPr="00EE309F">
        <w:rPr>
          <w:sz w:val="24"/>
          <w:szCs w:val="28"/>
          <w:lang w:val="en-US"/>
        </w:rPr>
        <w:t>SWOT</w:t>
      </w:r>
      <w:r w:rsidR="0004583A" w:rsidRPr="005A6EC1">
        <w:rPr>
          <w:sz w:val="24"/>
          <w:szCs w:val="28"/>
          <w:lang w:val="en-US"/>
        </w:rPr>
        <w:t>-</w:t>
      </w:r>
      <w:r>
        <w:rPr>
          <w:sz w:val="24"/>
          <w:szCs w:val="28"/>
          <w:lang w:val="en-US"/>
        </w:rPr>
        <w:t xml:space="preserve">analysis of Energy transition program </w:t>
      </w:r>
    </w:p>
    <w:tbl>
      <w:tblPr>
        <w:tblStyle w:val="aa"/>
        <w:tblW w:w="10201" w:type="dxa"/>
        <w:tblLook w:val="04A0" w:firstRow="1" w:lastRow="0" w:firstColumn="1" w:lastColumn="0" w:noHBand="0" w:noVBand="1"/>
      </w:tblPr>
      <w:tblGrid>
        <w:gridCol w:w="4885"/>
        <w:gridCol w:w="5316"/>
      </w:tblGrid>
      <w:tr w:rsidR="0004583A" w:rsidRPr="00601F6C" w14:paraId="23C7B887" w14:textId="77777777" w:rsidTr="003D25B9">
        <w:tc>
          <w:tcPr>
            <w:tcW w:w="4885" w:type="dxa"/>
            <w:shd w:val="clear" w:color="auto" w:fill="D9D9D9" w:themeFill="background1" w:themeFillShade="D9"/>
            <w:vAlign w:val="center"/>
          </w:tcPr>
          <w:p w14:paraId="44F89B6E" w14:textId="78F513BE" w:rsidR="0004583A" w:rsidRPr="005A6EC1" w:rsidRDefault="005A6EC1" w:rsidP="009E60F1">
            <w:pPr>
              <w:spacing w:after="0" w:line="240" w:lineRule="auto"/>
              <w:contextualSpacing/>
              <w:jc w:val="center"/>
              <w:rPr>
                <w:b/>
                <w:spacing w:val="-2"/>
                <w:lang w:val="en-US"/>
              </w:rPr>
            </w:pPr>
            <w:r>
              <w:rPr>
                <w:b/>
                <w:spacing w:val="-2"/>
                <w:lang w:val="en-US"/>
              </w:rPr>
              <w:t>Strengths</w:t>
            </w:r>
          </w:p>
        </w:tc>
        <w:tc>
          <w:tcPr>
            <w:tcW w:w="5316" w:type="dxa"/>
            <w:shd w:val="clear" w:color="auto" w:fill="D9D9D9" w:themeFill="background1" w:themeFillShade="D9"/>
            <w:vAlign w:val="center"/>
          </w:tcPr>
          <w:p w14:paraId="106F9585" w14:textId="30CA938E" w:rsidR="0004583A" w:rsidRPr="005A6EC1" w:rsidRDefault="005A6EC1" w:rsidP="009E60F1">
            <w:pPr>
              <w:spacing w:after="0" w:line="240" w:lineRule="auto"/>
              <w:contextualSpacing/>
              <w:jc w:val="center"/>
              <w:rPr>
                <w:b/>
                <w:spacing w:val="-2"/>
                <w:lang w:val="en-US"/>
              </w:rPr>
            </w:pPr>
            <w:r>
              <w:rPr>
                <w:b/>
                <w:spacing w:val="-2"/>
                <w:lang w:val="en-US"/>
              </w:rPr>
              <w:t xml:space="preserve">Weaknesses </w:t>
            </w:r>
          </w:p>
        </w:tc>
      </w:tr>
      <w:tr w:rsidR="0004583A" w:rsidRPr="00000B35" w14:paraId="4B73D8F7" w14:textId="77777777" w:rsidTr="003D25B9">
        <w:tc>
          <w:tcPr>
            <w:tcW w:w="4885" w:type="dxa"/>
          </w:tcPr>
          <w:p w14:paraId="2BBAC0C6" w14:textId="352A2329"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Extensive expertise in implementing renewable energy projects;</w:t>
            </w:r>
          </w:p>
          <w:p w14:paraId="36822866" w14:textId="3742DAE7"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A diversified portfolio of renewable energy assets;</w:t>
            </w:r>
          </w:p>
          <w:p w14:paraId="3A549AEF" w14:textId="6C9AFC79"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Relatively low wear and tear of renewable energy facilities compared to the overall wear rate of energy assets in Kazakhstan;</w:t>
            </w:r>
          </w:p>
          <w:p w14:paraId="5AC8A069" w14:textId="4710D056"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Strong support from the government and the Fund;</w:t>
            </w:r>
          </w:p>
          <w:p w14:paraId="629890C1" w14:textId="7E31FC3D" w:rsidR="0004583A"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w:t>
            </w:r>
            <w:r w:rsidRPr="0064641A">
              <w:rPr>
                <w:spacing w:val="-2"/>
                <w:lang w:val="en-US"/>
              </w:rPr>
              <w:t>Significant potential for the development and expansion of renewable energy projects in Kazakhstan, given the country’s vast territory and varied climatic conditions.</w:t>
            </w:r>
          </w:p>
        </w:tc>
        <w:tc>
          <w:tcPr>
            <w:tcW w:w="5316" w:type="dxa"/>
          </w:tcPr>
          <w:p w14:paraId="6ED35054" w14:textId="1F7FA598"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Pr>
                <w:spacing w:val="-2"/>
                <w:lang w:val="en-US"/>
              </w:rPr>
              <w:t>H</w:t>
            </w:r>
            <w:r w:rsidRPr="005A6EC1">
              <w:rPr>
                <w:spacing w:val="-2"/>
                <w:lang w:val="en-US"/>
              </w:rPr>
              <w:t>igh levels of debt;</w:t>
            </w:r>
          </w:p>
          <w:p w14:paraId="3BBD963C" w14:textId="52692CB5"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Social projects with insufficient return on invested capital;</w:t>
            </w:r>
          </w:p>
          <w:p w14:paraId="73394F0A" w14:textId="1309FF8B"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Inadequate regulatory framework needed to stimulate renewable energy projects;</w:t>
            </w:r>
          </w:p>
          <w:p w14:paraId="789A2B44" w14:textId="110771E9"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Instability in the supply of electricity from renewable energy sources;</w:t>
            </w:r>
          </w:p>
          <w:p w14:paraId="4D7ABAA0" w14:textId="6D1670ED"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The cost of electricity generated by traditional methods is still lower than that produced by renewable energy facilities;</w:t>
            </w:r>
          </w:p>
          <w:p w14:paraId="78566DC1" w14:textId="2863C5F3" w:rsidR="005A6EC1"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Limited research and uncertainty around the costs of implementing carbon capture and storage technologies;</w:t>
            </w:r>
          </w:p>
          <w:p w14:paraId="550C144E" w14:textId="16ADB5F3" w:rsidR="0004583A" w:rsidRPr="005A6EC1" w:rsidRDefault="005A6EC1" w:rsidP="00625A42">
            <w:pPr>
              <w:numPr>
                <w:ilvl w:val="0"/>
                <w:numId w:val="8"/>
              </w:numPr>
              <w:tabs>
                <w:tab w:val="clear" w:pos="720"/>
                <w:tab w:val="left" w:pos="105"/>
                <w:tab w:val="num" w:pos="1239"/>
              </w:tabs>
              <w:spacing w:after="0" w:line="240" w:lineRule="auto"/>
              <w:ind w:left="-36" w:firstLine="0"/>
              <w:contextualSpacing/>
              <w:jc w:val="both"/>
              <w:rPr>
                <w:spacing w:val="-2"/>
                <w:lang w:val="en-US"/>
              </w:rPr>
            </w:pPr>
            <w:r w:rsidRPr="005A6EC1">
              <w:rPr>
                <w:spacing w:val="-2"/>
                <w:lang w:val="en-US"/>
              </w:rPr>
              <w:t xml:space="preserve"> The need for significant financial investments.</w:t>
            </w:r>
          </w:p>
        </w:tc>
      </w:tr>
      <w:tr w:rsidR="0004583A" w:rsidRPr="00601F6C" w14:paraId="2E8787AE" w14:textId="77777777" w:rsidTr="003D25B9">
        <w:tc>
          <w:tcPr>
            <w:tcW w:w="4885" w:type="dxa"/>
            <w:shd w:val="clear" w:color="auto" w:fill="D9D9D9" w:themeFill="background1" w:themeFillShade="D9"/>
            <w:vAlign w:val="center"/>
          </w:tcPr>
          <w:p w14:paraId="36575366" w14:textId="6D672678" w:rsidR="0004583A" w:rsidRPr="005A6EC1" w:rsidRDefault="005A6EC1" w:rsidP="009E60F1">
            <w:pPr>
              <w:spacing w:after="0" w:line="240" w:lineRule="auto"/>
              <w:contextualSpacing/>
              <w:jc w:val="center"/>
              <w:rPr>
                <w:b/>
                <w:spacing w:val="-2"/>
                <w:lang w:val="en-US"/>
              </w:rPr>
            </w:pPr>
            <w:r>
              <w:rPr>
                <w:b/>
                <w:spacing w:val="-2"/>
                <w:lang w:val="en-US"/>
              </w:rPr>
              <w:t xml:space="preserve">Opportunities </w:t>
            </w:r>
          </w:p>
        </w:tc>
        <w:tc>
          <w:tcPr>
            <w:tcW w:w="5316" w:type="dxa"/>
            <w:shd w:val="clear" w:color="auto" w:fill="D9D9D9" w:themeFill="background1" w:themeFillShade="D9"/>
            <w:vAlign w:val="center"/>
          </w:tcPr>
          <w:p w14:paraId="4F273776" w14:textId="2D03E83C" w:rsidR="0004583A" w:rsidRPr="005A6EC1" w:rsidRDefault="005A6EC1" w:rsidP="009E60F1">
            <w:pPr>
              <w:spacing w:after="0" w:line="240" w:lineRule="auto"/>
              <w:contextualSpacing/>
              <w:jc w:val="center"/>
              <w:rPr>
                <w:b/>
                <w:spacing w:val="-2"/>
                <w:lang w:val="en-US"/>
              </w:rPr>
            </w:pPr>
            <w:r>
              <w:rPr>
                <w:b/>
                <w:spacing w:val="-2"/>
                <w:lang w:val="en-US"/>
              </w:rPr>
              <w:t>Threats</w:t>
            </w:r>
          </w:p>
        </w:tc>
      </w:tr>
      <w:tr w:rsidR="0004583A" w:rsidRPr="00000B35" w14:paraId="60F3E63B" w14:textId="77777777" w:rsidTr="003D25B9">
        <w:tc>
          <w:tcPr>
            <w:tcW w:w="4885" w:type="dxa"/>
          </w:tcPr>
          <w:p w14:paraId="3D13CAB1" w14:textId="393D1FFF" w:rsidR="005A6EC1"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pacing w:val="-2"/>
                <w:lang w:val="en-US"/>
              </w:rPr>
              <w:t xml:space="preserve"> Expanding clean energy generation in collaboration with strategic partners;</w:t>
            </w:r>
          </w:p>
          <w:p w14:paraId="3B53BBFF" w14:textId="790153D9" w:rsidR="005A6EC1"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pacing w:val="-2"/>
                <w:lang w:val="en-US"/>
              </w:rPr>
              <w:t xml:space="preserve">  Utilization of green financing tools for clean energy projects;</w:t>
            </w:r>
          </w:p>
          <w:p w14:paraId="165FFB5C" w14:textId="36834FF0" w:rsidR="005A6EC1"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pacing w:val="-2"/>
                <w:lang w:val="en-US"/>
              </w:rPr>
              <w:t>Growing trend of electrification across various sectors (such as transportation, automotive, and rail);</w:t>
            </w:r>
          </w:p>
          <w:p w14:paraId="7B3AA41A" w14:textId="69266EBB" w:rsidR="005A6EC1"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pacing w:val="-2"/>
                <w:lang w:val="en-US"/>
              </w:rPr>
              <w:t xml:space="preserve"> Expanding market share driven by rising demand, enhanced competitiveness, and potential market model changes;</w:t>
            </w:r>
          </w:p>
          <w:p w14:paraId="6CBBA99C" w14:textId="4AC8DA69" w:rsidR="0004583A"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pacing w:val="-2"/>
                <w:lang w:val="en-US"/>
              </w:rPr>
              <w:t>Collaboration with international organizations to study and implement carbon capture, utilization, and storage (CCUS) technologies, among others.</w:t>
            </w:r>
            <w:r w:rsidRPr="005A6EC1">
              <w:rPr>
                <w:sz w:val="24"/>
                <w:szCs w:val="24"/>
                <w:lang w:val="en-US" w:eastAsia="ru-RU"/>
              </w:rPr>
              <w:t xml:space="preserve"> </w:t>
            </w:r>
          </w:p>
        </w:tc>
        <w:tc>
          <w:tcPr>
            <w:tcW w:w="5316" w:type="dxa"/>
          </w:tcPr>
          <w:p w14:paraId="19082948" w14:textId="2ED19506" w:rsidR="005A6EC1" w:rsidRPr="005A6EC1" w:rsidRDefault="005A6EC1" w:rsidP="005A6EC1">
            <w:pPr>
              <w:spacing w:after="0" w:line="240" w:lineRule="auto"/>
              <w:rPr>
                <w:sz w:val="24"/>
                <w:szCs w:val="24"/>
                <w:lang w:val="en-US" w:eastAsia="ru-RU"/>
              </w:rPr>
            </w:pPr>
            <w:r>
              <w:rPr>
                <w:sz w:val="24"/>
                <w:szCs w:val="24"/>
                <w:lang w:val="en-US" w:eastAsia="ru-RU"/>
              </w:rPr>
              <w:t>-</w:t>
            </w:r>
            <w:r w:rsidRPr="005A6EC1">
              <w:rPr>
                <w:sz w:val="24"/>
                <w:szCs w:val="24"/>
                <w:lang w:val="en-US" w:eastAsia="ru-RU"/>
              </w:rPr>
              <w:t xml:space="preserve"> Global reduction in financing for projects that do not contribute to a greener economy;</w:t>
            </w:r>
          </w:p>
          <w:p w14:paraId="6924742A" w14:textId="220FCF02" w:rsidR="005A6EC1" w:rsidRPr="005A6EC1" w:rsidRDefault="005A6EC1" w:rsidP="005A6EC1">
            <w:pPr>
              <w:spacing w:after="0" w:line="240" w:lineRule="auto"/>
              <w:rPr>
                <w:sz w:val="24"/>
                <w:szCs w:val="24"/>
                <w:lang w:val="en-US" w:eastAsia="ru-RU"/>
              </w:rPr>
            </w:pPr>
            <w:r>
              <w:rPr>
                <w:sz w:val="24"/>
                <w:szCs w:val="24"/>
                <w:lang w:val="en-US" w:eastAsia="ru-RU"/>
              </w:rPr>
              <w:t>-</w:t>
            </w:r>
            <w:r w:rsidRPr="005A6EC1">
              <w:rPr>
                <w:sz w:val="24"/>
                <w:szCs w:val="24"/>
                <w:lang w:val="en-US" w:eastAsia="ru-RU"/>
              </w:rPr>
              <w:t xml:space="preserve">  Increasingly stringent international climate change policies;</w:t>
            </w:r>
          </w:p>
          <w:p w14:paraId="36895443" w14:textId="3A7147E3" w:rsidR="005A6EC1" w:rsidRPr="005A6EC1" w:rsidRDefault="005A6EC1" w:rsidP="005A6EC1">
            <w:pPr>
              <w:spacing w:after="0" w:line="240" w:lineRule="auto"/>
              <w:rPr>
                <w:sz w:val="24"/>
                <w:szCs w:val="24"/>
                <w:lang w:val="en-US" w:eastAsia="ru-RU"/>
              </w:rPr>
            </w:pPr>
            <w:r>
              <w:rPr>
                <w:sz w:val="24"/>
                <w:szCs w:val="24"/>
                <w:lang w:val="en-US" w:eastAsia="ru-RU"/>
              </w:rPr>
              <w:t>-</w:t>
            </w:r>
            <w:r w:rsidRPr="005A6EC1">
              <w:rPr>
                <w:sz w:val="24"/>
                <w:szCs w:val="24"/>
                <w:lang w:val="en-US" w:eastAsia="ru-RU"/>
              </w:rPr>
              <w:t xml:space="preserve">  Tighter environmental regulations in Kazakhstan, including higher carbon emission fees;</w:t>
            </w:r>
          </w:p>
          <w:p w14:paraId="4D72627C" w14:textId="6D6EE701" w:rsidR="005A6EC1" w:rsidRPr="005A6EC1" w:rsidRDefault="005A6EC1" w:rsidP="005A6EC1">
            <w:pPr>
              <w:spacing w:after="0" w:line="240" w:lineRule="auto"/>
              <w:rPr>
                <w:sz w:val="24"/>
                <w:szCs w:val="24"/>
                <w:lang w:val="en-US" w:eastAsia="ru-RU"/>
              </w:rPr>
            </w:pPr>
            <w:r>
              <w:rPr>
                <w:sz w:val="24"/>
                <w:szCs w:val="24"/>
                <w:lang w:val="en-US" w:eastAsia="ru-RU"/>
              </w:rPr>
              <w:t>-</w:t>
            </w:r>
            <w:r w:rsidRPr="005A6EC1">
              <w:rPr>
                <w:sz w:val="24"/>
                <w:szCs w:val="24"/>
                <w:lang w:val="en-US" w:eastAsia="ru-RU"/>
              </w:rPr>
              <w:t xml:space="preserve">  Geopolitical instability in neighboring countries;</w:t>
            </w:r>
          </w:p>
          <w:p w14:paraId="38390836" w14:textId="081A7A34" w:rsidR="005A6EC1" w:rsidRPr="005A6EC1" w:rsidRDefault="005A6EC1" w:rsidP="005A6EC1">
            <w:pPr>
              <w:spacing w:after="0" w:line="240" w:lineRule="auto"/>
              <w:rPr>
                <w:sz w:val="24"/>
                <w:szCs w:val="24"/>
                <w:lang w:val="en-US" w:eastAsia="ru-RU"/>
              </w:rPr>
            </w:pPr>
            <w:r>
              <w:rPr>
                <w:sz w:val="24"/>
                <w:szCs w:val="24"/>
                <w:lang w:val="en-US" w:eastAsia="ru-RU"/>
              </w:rPr>
              <w:t>-</w:t>
            </w:r>
            <w:r w:rsidRPr="005A6EC1">
              <w:rPr>
                <w:sz w:val="24"/>
                <w:szCs w:val="24"/>
                <w:lang w:val="en-US" w:eastAsia="ru-RU"/>
              </w:rPr>
              <w:t xml:space="preserve">  Rising costs of major investment projects due to currency depreciation;</w:t>
            </w:r>
          </w:p>
          <w:p w14:paraId="4BE31044" w14:textId="6A0B641B" w:rsidR="0004583A" w:rsidRPr="005A6EC1" w:rsidRDefault="005A6EC1" w:rsidP="00625A42">
            <w:pPr>
              <w:numPr>
                <w:ilvl w:val="0"/>
                <w:numId w:val="9"/>
              </w:numPr>
              <w:tabs>
                <w:tab w:val="left" w:pos="247"/>
              </w:tabs>
              <w:spacing w:after="0" w:line="240" w:lineRule="auto"/>
              <w:ind w:left="0" w:firstLine="0"/>
              <w:contextualSpacing/>
              <w:jc w:val="both"/>
              <w:rPr>
                <w:spacing w:val="-2"/>
                <w:lang w:val="en-US"/>
              </w:rPr>
            </w:pPr>
            <w:r w:rsidRPr="005A6EC1">
              <w:rPr>
                <w:sz w:val="24"/>
                <w:szCs w:val="24"/>
                <w:lang w:val="en-US" w:eastAsia="ru-RU"/>
              </w:rPr>
              <w:t xml:space="preserve">  Potential job losses if traditional power generation volumes decrease.</w:t>
            </w:r>
          </w:p>
        </w:tc>
      </w:tr>
    </w:tbl>
    <w:p w14:paraId="07D443FF" w14:textId="77777777" w:rsidR="0004583A" w:rsidRPr="005A6EC1" w:rsidRDefault="0004583A" w:rsidP="009E60F1">
      <w:pPr>
        <w:pStyle w:val="ab"/>
        <w:ind w:left="0" w:firstLine="426"/>
        <w:rPr>
          <w:bCs/>
          <w:spacing w:val="2"/>
          <w:szCs w:val="28"/>
          <w:lang w:val="en-US"/>
        </w:rPr>
      </w:pPr>
    </w:p>
    <w:p w14:paraId="27662118" w14:textId="4721248C" w:rsidR="00DB78D6" w:rsidRPr="005A6EC1" w:rsidRDefault="005A6EC1" w:rsidP="00A71B88">
      <w:pPr>
        <w:spacing w:after="0" w:line="240" w:lineRule="auto"/>
        <w:ind w:firstLine="709"/>
        <w:jc w:val="both"/>
        <w:rPr>
          <w:bCs/>
          <w:spacing w:val="2"/>
          <w:sz w:val="24"/>
          <w:szCs w:val="24"/>
          <w:lang w:val="en-US"/>
        </w:rPr>
      </w:pPr>
      <w:r w:rsidRPr="005A6EC1">
        <w:rPr>
          <w:lang w:val="en-US"/>
        </w:rPr>
        <w:t xml:space="preserve">Considering the conducted analysis and international green agenda, the Company sets goals and develops a long-term vision for low-carbon development by enhancing energy efficiency, adopting low-carbon technologies (available on the market), advancing renewable energy sources (RES), and utilizing offset mechanisms. Given the significance of global trends in mitigating climate change and the risks associated with activities based on traditional power generation, Samruk-Energy JSC aims to minimize its negative impact on the environment by 2060, in alignment with its Strategic </w:t>
      </w:r>
      <w:r w:rsidRPr="003A07D2">
        <w:rPr>
          <w:b/>
          <w:lang w:val="en-US"/>
        </w:rPr>
        <w:t>Mission:</w:t>
      </w:r>
      <w:r w:rsidRPr="005A6EC1">
        <w:rPr>
          <w:lang w:val="en-US"/>
        </w:rPr>
        <w:br/>
      </w:r>
      <w:r w:rsidR="003A07D2" w:rsidRPr="003A07D2">
        <w:rPr>
          <w:rStyle w:val="af5"/>
          <w:b w:val="0"/>
          <w:bCs w:val="0"/>
          <w:i/>
          <w:iCs/>
          <w:lang w:val="en-US"/>
        </w:rPr>
        <w:t xml:space="preserve">           </w:t>
      </w:r>
      <w:r w:rsidRPr="00445B5F">
        <w:rPr>
          <w:rStyle w:val="af5"/>
          <w:b w:val="0"/>
          <w:bCs w:val="0"/>
          <w:i/>
          <w:iCs/>
          <w:lang w:val="en-US"/>
        </w:rPr>
        <w:t>"We ensure the country's energy security and contribute to the accelerated energy transition, adhering to the principles of sustainable development and effective resource management."</w:t>
      </w:r>
      <w:r w:rsidRPr="00445B5F">
        <w:rPr>
          <w:b/>
          <w:bCs/>
          <w:i/>
          <w:iCs/>
          <w:lang w:val="en-US"/>
        </w:rPr>
        <w:br/>
      </w:r>
      <w:r w:rsidR="003A07D2" w:rsidRPr="003A07D2">
        <w:rPr>
          <w:b/>
          <w:bCs/>
          <w:lang w:val="en-US"/>
        </w:rPr>
        <w:t xml:space="preserve">           </w:t>
      </w:r>
      <w:r w:rsidRPr="00445B5F">
        <w:rPr>
          <w:b/>
          <w:bCs/>
          <w:lang w:val="en-US"/>
        </w:rPr>
        <w:t>One of the Company's strategic goals</w:t>
      </w:r>
      <w:r w:rsidRPr="005A6EC1">
        <w:rPr>
          <w:lang w:val="en-US"/>
        </w:rPr>
        <w:t xml:space="preserve"> is to proactively develop renewable energy sources and reduce environmental impact.</w:t>
      </w:r>
      <w:r w:rsidRPr="005A6EC1">
        <w:rPr>
          <w:lang w:val="en-US"/>
        </w:rPr>
        <w:br/>
      </w:r>
      <w:r w:rsidR="003A07D2" w:rsidRPr="003A07D2">
        <w:rPr>
          <w:b/>
          <w:bCs/>
          <w:lang w:val="en-US"/>
        </w:rPr>
        <w:t xml:space="preserve">           </w:t>
      </w:r>
      <w:r w:rsidRPr="00445B5F">
        <w:rPr>
          <w:b/>
          <w:bCs/>
          <w:lang w:val="en-US"/>
        </w:rPr>
        <w:t>The Program's objective</w:t>
      </w:r>
      <w:r w:rsidRPr="005A6EC1">
        <w:rPr>
          <w:lang w:val="en-US"/>
        </w:rPr>
        <w:t xml:space="preserve"> is to reduce the Company's net carbon footprint by 2060.</w:t>
      </w:r>
    </w:p>
    <w:p w14:paraId="5C1A2D64" w14:textId="77777777" w:rsidR="0064641A" w:rsidRDefault="0064641A" w:rsidP="009E60F1">
      <w:pPr>
        <w:pStyle w:val="Default"/>
        <w:ind w:firstLine="567"/>
        <w:jc w:val="both"/>
        <w:rPr>
          <w:lang w:val="en-US"/>
        </w:rPr>
      </w:pPr>
    </w:p>
    <w:p w14:paraId="546F5FD0" w14:textId="3EFC055A" w:rsidR="001630D8" w:rsidRDefault="0064641A" w:rsidP="009E60F1">
      <w:pPr>
        <w:pStyle w:val="Default"/>
        <w:ind w:firstLine="567"/>
        <w:jc w:val="both"/>
        <w:rPr>
          <w:rFonts w:ascii="Times New Roman" w:hAnsi="Times New Roman" w:cs="Times New Roman"/>
          <w:b/>
          <w:bCs/>
          <w:lang w:val="en-US"/>
        </w:rPr>
      </w:pPr>
      <w:r w:rsidRPr="0064641A">
        <w:rPr>
          <w:rFonts w:ascii="Times New Roman" w:hAnsi="Times New Roman" w:cs="Times New Roman"/>
          <w:b/>
          <w:bCs/>
          <w:lang w:val="en-US"/>
        </w:rPr>
        <w:t>4.</w:t>
      </w:r>
      <w:r w:rsidR="00450888" w:rsidRPr="0064641A">
        <w:rPr>
          <w:rFonts w:ascii="Times New Roman" w:hAnsi="Times New Roman" w:cs="Times New Roman"/>
          <w:b/>
          <w:bCs/>
          <w:lang w:val="en-US"/>
        </w:rPr>
        <w:t>1. Defining</w:t>
      </w:r>
      <w:r w:rsidRPr="0064641A">
        <w:rPr>
          <w:rFonts w:ascii="Times New Roman" w:hAnsi="Times New Roman" w:cs="Times New Roman"/>
          <w:b/>
          <w:bCs/>
          <w:lang w:val="en-US"/>
        </w:rPr>
        <w:t xml:space="preserve"> the Program's directions and target indicators.</w:t>
      </w:r>
    </w:p>
    <w:p w14:paraId="5D83E699" w14:textId="77777777" w:rsidR="003A07D2" w:rsidRPr="0064641A" w:rsidRDefault="003A07D2" w:rsidP="009E60F1">
      <w:pPr>
        <w:pStyle w:val="Default"/>
        <w:ind w:firstLine="567"/>
        <w:jc w:val="both"/>
        <w:rPr>
          <w:rFonts w:ascii="Times New Roman" w:eastAsia="Times New Roman" w:hAnsi="Times New Roman" w:cs="Times New Roman"/>
          <w:b/>
          <w:bCs/>
          <w:color w:val="auto"/>
          <w:spacing w:val="2"/>
          <w:szCs w:val="28"/>
          <w:lang w:val="en-US" w:eastAsia="ru-RU"/>
        </w:rPr>
      </w:pPr>
    </w:p>
    <w:p w14:paraId="681C2CB5" w14:textId="4597843B" w:rsidR="001630D8" w:rsidRPr="001C5BD8" w:rsidRDefault="0064641A" w:rsidP="001630D8">
      <w:pPr>
        <w:pStyle w:val="Default"/>
        <w:ind w:left="709"/>
        <w:jc w:val="both"/>
        <w:rPr>
          <w:rFonts w:ascii="Times New Roman" w:eastAsia="Times New Roman" w:hAnsi="Times New Roman" w:cs="Times New Roman"/>
          <w:bCs/>
          <w:color w:val="auto"/>
          <w:spacing w:val="2"/>
          <w:szCs w:val="28"/>
          <w:lang w:val="en-US" w:eastAsia="ru-RU"/>
        </w:rPr>
      </w:pPr>
      <w:r w:rsidRPr="001C5BD8">
        <w:rPr>
          <w:rFonts w:ascii="Times New Roman" w:eastAsia="Times New Roman" w:hAnsi="Times New Roman" w:cs="Times New Roman"/>
          <w:bCs/>
          <w:color w:val="auto"/>
          <w:spacing w:val="2"/>
          <w:szCs w:val="28"/>
          <w:lang w:val="en-US" w:eastAsia="ru-RU"/>
        </w:rPr>
        <w:t>Taking into account the strengths and weaknesses, the key directions for achieving carbon neutrality have been identified within the scenarios outlined in Table 2.</w:t>
      </w:r>
    </w:p>
    <w:p w14:paraId="60B8983C" w14:textId="77777777" w:rsidR="0064641A" w:rsidRPr="0064641A" w:rsidRDefault="0064641A" w:rsidP="001630D8">
      <w:pPr>
        <w:pStyle w:val="Default"/>
        <w:ind w:left="709"/>
        <w:jc w:val="both"/>
        <w:rPr>
          <w:rFonts w:ascii="Times New Roman" w:eastAsia="Times New Roman" w:hAnsi="Times New Roman" w:cs="Times New Roman"/>
          <w:bCs/>
          <w:color w:val="auto"/>
          <w:spacing w:val="2"/>
          <w:szCs w:val="28"/>
          <w:lang w:val="en-US" w:eastAsia="ru-RU"/>
        </w:rPr>
      </w:pPr>
    </w:p>
    <w:p w14:paraId="1BEC1BCF" w14:textId="03B87B93" w:rsidR="001630D8" w:rsidRPr="0064641A" w:rsidRDefault="0064641A" w:rsidP="00027D09">
      <w:pPr>
        <w:pStyle w:val="Default"/>
        <w:jc w:val="both"/>
        <w:rPr>
          <w:rFonts w:ascii="Times New Roman" w:eastAsia="Times New Roman" w:hAnsi="Times New Roman" w:cs="Times New Roman"/>
          <w:bCs/>
          <w:color w:val="auto"/>
          <w:spacing w:val="2"/>
          <w:szCs w:val="28"/>
          <w:lang w:val="en-US" w:eastAsia="ru-RU"/>
        </w:rPr>
      </w:pPr>
      <w:r>
        <w:rPr>
          <w:rFonts w:ascii="Times New Roman" w:eastAsia="Times New Roman" w:hAnsi="Times New Roman" w:cs="Times New Roman"/>
          <w:bCs/>
          <w:color w:val="auto"/>
          <w:spacing w:val="2"/>
          <w:szCs w:val="28"/>
          <w:lang w:val="en-US" w:eastAsia="ru-RU"/>
        </w:rPr>
        <w:t>Table</w:t>
      </w:r>
      <w:r w:rsidR="001630D8">
        <w:rPr>
          <w:rFonts w:ascii="Times New Roman" w:eastAsia="Times New Roman" w:hAnsi="Times New Roman" w:cs="Times New Roman"/>
          <w:bCs/>
          <w:color w:val="auto"/>
          <w:spacing w:val="2"/>
          <w:szCs w:val="28"/>
          <w:lang w:eastAsia="ru-RU"/>
        </w:rPr>
        <w:t xml:space="preserve"> 2. </w:t>
      </w:r>
      <w:r>
        <w:rPr>
          <w:rFonts w:ascii="Times New Roman" w:eastAsia="Times New Roman" w:hAnsi="Times New Roman" w:cs="Times New Roman"/>
          <w:bCs/>
          <w:color w:val="auto"/>
          <w:spacing w:val="2"/>
          <w:szCs w:val="28"/>
          <w:lang w:val="en-US" w:eastAsia="ru-RU"/>
        </w:rPr>
        <w:t>Key directions</w:t>
      </w:r>
    </w:p>
    <w:tbl>
      <w:tblPr>
        <w:tblStyle w:val="aa"/>
        <w:tblW w:w="0" w:type="auto"/>
        <w:tblLayout w:type="fixed"/>
        <w:tblLook w:val="04A0" w:firstRow="1" w:lastRow="0" w:firstColumn="1" w:lastColumn="0" w:noHBand="0" w:noVBand="1"/>
      </w:tblPr>
      <w:tblGrid>
        <w:gridCol w:w="2830"/>
        <w:gridCol w:w="7365"/>
      </w:tblGrid>
      <w:tr w:rsidR="00115D01" w14:paraId="57F78EFB" w14:textId="77777777" w:rsidTr="00707028">
        <w:tc>
          <w:tcPr>
            <w:tcW w:w="2830" w:type="dxa"/>
            <w:shd w:val="clear" w:color="auto" w:fill="BDD6EE" w:themeFill="accent1" w:themeFillTint="66"/>
          </w:tcPr>
          <w:p w14:paraId="4BF397EF" w14:textId="301E912B" w:rsidR="00115D01" w:rsidRPr="0064641A" w:rsidRDefault="0064641A" w:rsidP="009E60F1">
            <w:pPr>
              <w:tabs>
                <w:tab w:val="left" w:pos="993"/>
              </w:tabs>
              <w:spacing w:after="0" w:line="240" w:lineRule="auto"/>
              <w:jc w:val="center"/>
              <w:rPr>
                <w:b/>
                <w:lang w:val="en-US"/>
              </w:rPr>
            </w:pPr>
            <w:r>
              <w:rPr>
                <w:b/>
                <w:lang w:val="en-US"/>
              </w:rPr>
              <w:t>Direction and tasks</w:t>
            </w:r>
          </w:p>
        </w:tc>
        <w:tc>
          <w:tcPr>
            <w:tcW w:w="7365" w:type="dxa"/>
            <w:shd w:val="clear" w:color="auto" w:fill="BDD6EE" w:themeFill="accent1" w:themeFillTint="66"/>
          </w:tcPr>
          <w:p w14:paraId="5B188D74" w14:textId="73DCD6F8" w:rsidR="00115D01" w:rsidRPr="0064641A" w:rsidRDefault="0064641A" w:rsidP="009E60F1">
            <w:pPr>
              <w:pStyle w:val="Default"/>
              <w:jc w:val="center"/>
              <w:rPr>
                <w:rFonts w:ascii="Times New Roman" w:hAnsi="Times New Roman" w:cs="Times New Roman"/>
                <w:b/>
                <w:sz w:val="22"/>
                <w:szCs w:val="22"/>
                <w:lang w:val="en-US"/>
              </w:rPr>
            </w:pPr>
            <w:r>
              <w:rPr>
                <w:rFonts w:ascii="Times New Roman" w:hAnsi="Times New Roman" w:cs="Times New Roman"/>
                <w:b/>
                <w:sz w:val="22"/>
                <w:szCs w:val="22"/>
                <w:lang w:val="en-US"/>
              </w:rPr>
              <w:t>Comments/description</w:t>
            </w:r>
          </w:p>
        </w:tc>
      </w:tr>
      <w:tr w:rsidR="00115D01" w:rsidRPr="00000B35" w14:paraId="4E141F7C" w14:textId="77777777" w:rsidTr="00707028">
        <w:tc>
          <w:tcPr>
            <w:tcW w:w="2830" w:type="dxa"/>
          </w:tcPr>
          <w:p w14:paraId="1112A530" w14:textId="77777777" w:rsidR="0064641A" w:rsidRPr="0064641A" w:rsidRDefault="0064641A" w:rsidP="00625A42">
            <w:pPr>
              <w:numPr>
                <w:ilvl w:val="0"/>
                <w:numId w:val="11"/>
              </w:numPr>
              <w:spacing w:before="100" w:beforeAutospacing="1" w:after="100" w:afterAutospacing="1" w:line="240" w:lineRule="auto"/>
              <w:rPr>
                <w:sz w:val="24"/>
                <w:szCs w:val="24"/>
                <w:lang w:val="en-US" w:eastAsia="ru-RU"/>
              </w:rPr>
            </w:pPr>
            <w:r w:rsidRPr="0064641A">
              <w:rPr>
                <w:b/>
                <w:bCs/>
                <w:sz w:val="24"/>
                <w:szCs w:val="24"/>
                <w:lang w:val="en-US" w:eastAsia="ru-RU"/>
              </w:rPr>
              <w:t>Alternative energy</w:t>
            </w:r>
            <w:r w:rsidRPr="0064641A">
              <w:rPr>
                <w:sz w:val="24"/>
                <w:szCs w:val="24"/>
                <w:lang w:val="en-US" w:eastAsia="ru-RU"/>
              </w:rPr>
              <w:br/>
              <w:t>1.1. wind and hydropower</w:t>
            </w:r>
            <w:r w:rsidRPr="0064641A">
              <w:rPr>
                <w:sz w:val="24"/>
                <w:szCs w:val="24"/>
                <w:lang w:val="en-US" w:eastAsia="ru-RU"/>
              </w:rPr>
              <w:br/>
              <w:t>1.2. solar energy</w:t>
            </w:r>
            <w:r w:rsidRPr="0064641A">
              <w:rPr>
                <w:sz w:val="24"/>
                <w:szCs w:val="24"/>
                <w:lang w:val="en-US" w:eastAsia="ru-RU"/>
              </w:rPr>
              <w:br/>
              <w:t>1.3. geothermal energy</w:t>
            </w:r>
            <w:r w:rsidRPr="0064641A">
              <w:rPr>
                <w:sz w:val="24"/>
                <w:szCs w:val="24"/>
                <w:lang w:val="en-US" w:eastAsia="ru-RU"/>
              </w:rPr>
              <w:br/>
              <w:t>1.4. hydrogen energy</w:t>
            </w:r>
            <w:r w:rsidRPr="0064641A">
              <w:rPr>
                <w:sz w:val="24"/>
                <w:szCs w:val="24"/>
                <w:lang w:val="en-US" w:eastAsia="ru-RU"/>
              </w:rPr>
              <w:br/>
              <w:t>1.5. international cooperation</w:t>
            </w:r>
          </w:p>
          <w:p w14:paraId="7190DA5A" w14:textId="2A4E189A" w:rsidR="0004583A" w:rsidRPr="0064641A" w:rsidRDefault="0004583A" w:rsidP="0064641A">
            <w:pPr>
              <w:pStyle w:val="ab"/>
              <w:ind w:left="673"/>
              <w:rPr>
                <w:lang w:val="en-US"/>
              </w:rPr>
            </w:pPr>
          </w:p>
        </w:tc>
        <w:tc>
          <w:tcPr>
            <w:tcW w:w="7365" w:type="dxa"/>
          </w:tcPr>
          <w:p w14:paraId="4B013B31" w14:textId="77777777" w:rsidR="0064641A" w:rsidRPr="0064641A" w:rsidRDefault="0064641A" w:rsidP="0064641A">
            <w:pPr>
              <w:pStyle w:val="a3"/>
              <w:rPr>
                <w:lang w:val="en-US"/>
              </w:rPr>
            </w:pPr>
            <w:r w:rsidRPr="0064641A">
              <w:rPr>
                <w:lang w:val="en-US"/>
              </w:rPr>
              <w:t xml:space="preserve">1.1. </w:t>
            </w:r>
            <w:r w:rsidRPr="0064641A">
              <w:rPr>
                <w:rStyle w:val="af5"/>
                <w:lang w:val="en-US"/>
              </w:rPr>
              <w:t>Wind and hydropower</w:t>
            </w:r>
            <w:r w:rsidRPr="0064641A">
              <w:rPr>
                <w:lang w:val="en-US"/>
              </w:rPr>
              <w:br/>
              <w:t>In recent years, the company has gained significant experience in implementing renewable energy projects and their subsequent operational management. A key and large-scale task of the energy transition is the construction of new wind and hydroelectric power plants. In terms of increasing capacity by generation type, wind projects will make the largest contribution, accounting for a 5.2 GW increase in installed capacity within the strategy horizon. For hydropower development, plans include both constructing new plants and expanding or modernizing existing assets, adding a total of 1.6 GW of new capacity.</w:t>
            </w:r>
          </w:p>
          <w:p w14:paraId="0948AE48" w14:textId="77777777" w:rsidR="0064641A" w:rsidRPr="0064641A" w:rsidRDefault="0064641A" w:rsidP="0064641A">
            <w:pPr>
              <w:pStyle w:val="a3"/>
              <w:rPr>
                <w:lang w:val="en-US"/>
              </w:rPr>
            </w:pPr>
            <w:r w:rsidRPr="0064641A">
              <w:rPr>
                <w:lang w:val="en-US"/>
              </w:rPr>
              <w:t xml:space="preserve">1.2. </w:t>
            </w:r>
            <w:r w:rsidRPr="0064641A">
              <w:rPr>
                <w:rStyle w:val="af5"/>
                <w:lang w:val="en-US"/>
              </w:rPr>
              <w:t>Solar energy</w:t>
            </w:r>
            <w:r w:rsidRPr="0064641A">
              <w:rPr>
                <w:lang w:val="en-US"/>
              </w:rPr>
              <w:br/>
              <w:t>The development of solar energy is also becoming a key factor in the transition to green energy and sustainable development. A 20% reduction in solar energy production costs from 2018 to 2023 has made this technology more competitive, encouraging a shift toward renewable energy sources. The company plans to implement solar power plants with a total capacity of up to 1 GW within the strategy horizon.</w:t>
            </w:r>
          </w:p>
          <w:p w14:paraId="4452ADB6" w14:textId="77777777" w:rsidR="0064641A" w:rsidRPr="0064641A" w:rsidRDefault="0064641A" w:rsidP="0064641A">
            <w:pPr>
              <w:pStyle w:val="a3"/>
              <w:rPr>
                <w:lang w:val="en-US"/>
              </w:rPr>
            </w:pPr>
            <w:r w:rsidRPr="0064641A">
              <w:rPr>
                <w:lang w:val="en-US"/>
              </w:rPr>
              <w:t xml:space="preserve">1.3. </w:t>
            </w:r>
            <w:r w:rsidRPr="0064641A">
              <w:rPr>
                <w:rStyle w:val="af5"/>
                <w:lang w:val="en-US"/>
              </w:rPr>
              <w:t>Geothermal energy</w:t>
            </w:r>
            <w:r w:rsidRPr="0064641A">
              <w:rPr>
                <w:lang w:val="en-US"/>
              </w:rPr>
              <w:br/>
              <w:t>In the long term, the company is considering geothermal power plant projects. Geothermal energy offers significant advantages, including full environmental safety, minimal CO₂ emissions, inexhaustible resources, and independence from external conditions and time of day. By 2060, the company plans to launch a pilot geothermal power plant project with a capacity of 20 MW, capable of producing an annual electricity output of over 0.044 billion kWh.</w:t>
            </w:r>
          </w:p>
          <w:p w14:paraId="32DF09BE" w14:textId="77777777" w:rsidR="0064641A" w:rsidRPr="0064641A" w:rsidRDefault="0064641A" w:rsidP="0064641A">
            <w:pPr>
              <w:pStyle w:val="a3"/>
              <w:rPr>
                <w:lang w:val="en-US"/>
              </w:rPr>
            </w:pPr>
            <w:r w:rsidRPr="0064641A">
              <w:rPr>
                <w:lang w:val="en-US"/>
              </w:rPr>
              <w:t xml:space="preserve">1.4. </w:t>
            </w:r>
            <w:r w:rsidRPr="0064641A">
              <w:rPr>
                <w:rStyle w:val="af5"/>
                <w:lang w:val="en-US"/>
              </w:rPr>
              <w:t>Hydrogen energy</w:t>
            </w:r>
            <w:r w:rsidRPr="0064641A">
              <w:rPr>
                <w:lang w:val="en-US"/>
              </w:rPr>
              <w:br/>
              <w:t>Hydrogen in electricity generation, particularly as a backup fuel source for energy storage and additional generation capacity, offers substantial environmental and accessibility benefits. In Kazakhstan, special attention is being paid to pilot projects involving hydrogen use at thermal power plants. These projects present opportunities for the company to explore hydrogen applications for decarbonization following feasibility studies.</w:t>
            </w:r>
          </w:p>
          <w:p w14:paraId="318583B5" w14:textId="50DCA9DA" w:rsidR="0064641A" w:rsidRPr="0064641A" w:rsidRDefault="0064641A" w:rsidP="0064641A">
            <w:pPr>
              <w:pStyle w:val="a3"/>
              <w:rPr>
                <w:lang w:val="en-US"/>
              </w:rPr>
            </w:pPr>
            <w:r w:rsidRPr="0064641A">
              <w:rPr>
                <w:lang w:val="en-US"/>
              </w:rPr>
              <w:t xml:space="preserve">1.5. </w:t>
            </w:r>
            <w:r w:rsidRPr="0064641A">
              <w:rPr>
                <w:rStyle w:val="af5"/>
                <w:lang w:val="en-US"/>
              </w:rPr>
              <w:t>International cooperation</w:t>
            </w:r>
            <w:r w:rsidRPr="0064641A">
              <w:rPr>
                <w:lang w:val="en-US"/>
              </w:rPr>
              <w:br/>
              <w:t xml:space="preserve">The implementation of large-scale renewable energy projects involves expanding international cooperation and collaboration. Opportunities for participating in intergovernmental projects focus on renewable energy development to meet green energy goals and expand base capacities to reliably meet the growing demand for electricity. For instance, in 2023, Samruk-Energy JSC signed an agreement with Power China Resources Ltd to jointly develop a project increasing the capacity of a wind farm in </w:t>
            </w:r>
            <w:proofErr w:type="spellStart"/>
            <w:r w:rsidRPr="0064641A">
              <w:rPr>
                <w:lang w:val="en-US"/>
              </w:rPr>
              <w:t>Shelek</w:t>
            </w:r>
            <w:proofErr w:type="spellEnd"/>
            <w:r w:rsidRPr="0064641A">
              <w:rPr>
                <w:lang w:val="en-US"/>
              </w:rPr>
              <w:t xml:space="preserve"> Corridor of Almaty </w:t>
            </w:r>
            <w:r>
              <w:rPr>
                <w:lang w:val="en-US"/>
              </w:rPr>
              <w:t>r</w:t>
            </w:r>
            <w:r w:rsidRPr="0064641A">
              <w:rPr>
                <w:lang w:val="en-US"/>
              </w:rPr>
              <w:t>egion to 810 MW. Agreements were also signed for a 1 GW wind farm project with Abu Dhabi Future Energy Company (Masdar), W Solar Investment LLC, and the Kazakhstan Investment Development Fund, among others.</w:t>
            </w:r>
          </w:p>
          <w:p w14:paraId="70BE42C3" w14:textId="28327052" w:rsidR="009265F5" w:rsidRPr="0064641A" w:rsidRDefault="0064641A" w:rsidP="003A07D2">
            <w:pPr>
              <w:pStyle w:val="a3"/>
              <w:rPr>
                <w:color w:val="000000" w:themeColor="text1"/>
                <w:sz w:val="22"/>
                <w:shd w:val="clear" w:color="auto" w:fill="FFFFFF"/>
                <w:lang w:val="en-US"/>
              </w:rPr>
            </w:pPr>
            <w:r w:rsidRPr="0064641A">
              <w:rPr>
                <w:lang w:val="en-US"/>
              </w:rPr>
              <w:t>Additionally, within the "Deep Decarbonization" scenario, a long-term additional renewable energy volume has been calculated to achieve carbon neutrality, including wind farms and a pilot geothermal power plant with a total capacity of 3,000 MW.</w:t>
            </w:r>
          </w:p>
        </w:tc>
      </w:tr>
      <w:tr w:rsidR="00115D01" w:rsidRPr="00000B35" w14:paraId="1934DFC7" w14:textId="77777777" w:rsidTr="00707028">
        <w:tc>
          <w:tcPr>
            <w:tcW w:w="2830" w:type="dxa"/>
          </w:tcPr>
          <w:p w14:paraId="3A42E1D3" w14:textId="45B7DBFA" w:rsidR="00115D01" w:rsidRPr="0064641A" w:rsidRDefault="0064641A" w:rsidP="009E60F1">
            <w:pPr>
              <w:pStyle w:val="Default"/>
              <w:jc w:val="both"/>
              <w:rPr>
                <w:rFonts w:ascii="Times New Roman" w:hAnsi="Times New Roman" w:cs="Times New Roman"/>
                <w:szCs w:val="22"/>
                <w:lang w:val="en-US"/>
              </w:rPr>
            </w:pPr>
            <w:r>
              <w:rPr>
                <w:rFonts w:ascii="Times New Roman" w:eastAsia="Times New Roman" w:hAnsi="Times New Roman" w:cs="Times New Roman"/>
                <w:b/>
                <w:bCs/>
                <w:color w:val="auto"/>
                <w:lang w:val="en-US" w:eastAsia="ru-RU"/>
              </w:rPr>
              <w:t>2)</w:t>
            </w:r>
            <w:r w:rsidRPr="0064641A">
              <w:rPr>
                <w:rFonts w:ascii="Times New Roman" w:eastAsia="Times New Roman" w:hAnsi="Times New Roman" w:cs="Times New Roman"/>
                <w:b/>
                <w:bCs/>
                <w:color w:val="auto"/>
                <w:lang w:val="en-US" w:eastAsia="ru-RU"/>
              </w:rPr>
              <w:t xml:space="preserve"> </w:t>
            </w:r>
            <w:r>
              <w:rPr>
                <w:rFonts w:ascii="Times New Roman" w:eastAsia="Times New Roman" w:hAnsi="Times New Roman" w:cs="Times New Roman"/>
                <w:b/>
                <w:bCs/>
                <w:color w:val="auto"/>
                <w:lang w:val="en-US" w:eastAsia="ru-RU"/>
              </w:rPr>
              <w:t>Conventional</w:t>
            </w:r>
            <w:r w:rsidRPr="0064641A">
              <w:rPr>
                <w:rFonts w:ascii="Times New Roman" w:eastAsia="Times New Roman" w:hAnsi="Times New Roman" w:cs="Times New Roman"/>
                <w:b/>
                <w:bCs/>
                <w:color w:val="auto"/>
                <w:lang w:val="en-US" w:eastAsia="ru-RU"/>
              </w:rPr>
              <w:t xml:space="preserve"> energy</w:t>
            </w:r>
            <w:r w:rsidRPr="0064641A">
              <w:rPr>
                <w:rFonts w:ascii="Times New Roman" w:eastAsia="Times New Roman" w:hAnsi="Times New Roman" w:cs="Times New Roman"/>
                <w:color w:val="auto"/>
                <w:lang w:val="en-US" w:eastAsia="ru-RU"/>
              </w:rPr>
              <w:br/>
            </w:r>
            <w:r w:rsidRPr="003A07D2">
              <w:rPr>
                <w:rFonts w:ascii="Times New Roman" w:eastAsia="Times New Roman" w:hAnsi="Times New Roman" w:cs="Times New Roman"/>
                <w:bCs/>
                <w:color w:val="auto"/>
                <w:lang w:val="en-US" w:eastAsia="ru-RU"/>
              </w:rPr>
              <w:t>2.1.</w:t>
            </w:r>
            <w:r w:rsidRPr="0064641A">
              <w:rPr>
                <w:rFonts w:ascii="Times New Roman" w:eastAsia="Times New Roman" w:hAnsi="Times New Roman" w:cs="Times New Roman"/>
                <w:b/>
                <w:bCs/>
                <w:color w:val="auto"/>
                <w:lang w:val="en-US" w:eastAsia="ru-RU"/>
              </w:rPr>
              <w:t xml:space="preserve"> </w:t>
            </w:r>
            <w:r w:rsidRPr="0064641A">
              <w:rPr>
                <w:rFonts w:ascii="Times New Roman" w:eastAsia="Times New Roman" w:hAnsi="Times New Roman" w:cs="Times New Roman"/>
                <w:color w:val="auto"/>
                <w:lang w:val="en-US" w:eastAsia="ru-RU"/>
              </w:rPr>
              <w:t>Reducing CO₂ emissions through coal-fired power plant gasification</w:t>
            </w:r>
          </w:p>
        </w:tc>
        <w:tc>
          <w:tcPr>
            <w:tcW w:w="7365" w:type="dxa"/>
          </w:tcPr>
          <w:p w14:paraId="451E6E33" w14:textId="77777777" w:rsidR="0064641A" w:rsidRPr="0064641A" w:rsidRDefault="0064641A" w:rsidP="0064641A">
            <w:pPr>
              <w:spacing w:after="0" w:line="240" w:lineRule="auto"/>
              <w:jc w:val="both"/>
              <w:rPr>
                <w:sz w:val="24"/>
                <w:szCs w:val="24"/>
                <w:lang w:val="en-US" w:eastAsia="ru-RU"/>
              </w:rPr>
            </w:pPr>
            <w:r w:rsidRPr="0064641A">
              <w:rPr>
                <w:sz w:val="24"/>
                <w:szCs w:val="24"/>
                <w:lang w:val="en-US" w:eastAsia="ru-RU"/>
              </w:rPr>
              <w:t xml:space="preserve">2.1. Considering the practical impossibility of completely phasing out coal within the next 20–30 years, the company is implementing gasification projects in Almaty to reduce environmental emissions, as directed by the President of Kazakhstan, </w:t>
            </w:r>
            <w:proofErr w:type="spellStart"/>
            <w:r w:rsidRPr="0064641A">
              <w:rPr>
                <w:sz w:val="24"/>
                <w:szCs w:val="24"/>
                <w:lang w:val="en-US" w:eastAsia="ru-RU"/>
              </w:rPr>
              <w:t>Kassym-Jomart</w:t>
            </w:r>
            <w:proofErr w:type="spellEnd"/>
            <w:r w:rsidRPr="0064641A">
              <w:rPr>
                <w:sz w:val="24"/>
                <w:szCs w:val="24"/>
                <w:lang w:val="en-US" w:eastAsia="ru-RU"/>
              </w:rPr>
              <w:t xml:space="preserve"> </w:t>
            </w:r>
            <w:proofErr w:type="spellStart"/>
            <w:r w:rsidRPr="0064641A">
              <w:rPr>
                <w:sz w:val="24"/>
                <w:szCs w:val="24"/>
                <w:lang w:val="en-US" w:eastAsia="ru-RU"/>
              </w:rPr>
              <w:t>Tokayev</w:t>
            </w:r>
            <w:proofErr w:type="spellEnd"/>
            <w:r w:rsidRPr="0064641A">
              <w:rPr>
                <w:sz w:val="24"/>
                <w:szCs w:val="24"/>
                <w:lang w:val="en-US" w:eastAsia="ru-RU"/>
              </w:rPr>
              <w:t>, in his Address to the Nation on September 1, 2021.</w:t>
            </w:r>
          </w:p>
          <w:p w14:paraId="3B766A67" w14:textId="0E94B1BD" w:rsidR="0064641A" w:rsidRPr="0064641A" w:rsidRDefault="0064641A" w:rsidP="0064641A">
            <w:pPr>
              <w:spacing w:after="0" w:line="240" w:lineRule="auto"/>
              <w:jc w:val="both"/>
              <w:rPr>
                <w:sz w:val="24"/>
                <w:szCs w:val="24"/>
                <w:lang w:val="en-US" w:eastAsia="ru-RU"/>
              </w:rPr>
            </w:pPr>
            <w:r w:rsidRPr="0064641A">
              <w:rPr>
                <w:sz w:val="24"/>
                <w:szCs w:val="24"/>
                <w:lang w:val="en-US" w:eastAsia="ru-RU"/>
              </w:rPr>
              <w:t>1)Expansion of Almaty CHP</w:t>
            </w:r>
            <w:r>
              <w:rPr>
                <w:sz w:val="24"/>
                <w:szCs w:val="24"/>
                <w:lang w:val="en-US" w:eastAsia="ru-RU"/>
              </w:rPr>
              <w:t>-</w:t>
            </w:r>
            <w:r w:rsidRPr="0064641A">
              <w:rPr>
                <w:sz w:val="24"/>
                <w:szCs w:val="24"/>
                <w:lang w:val="en-US" w:eastAsia="ru-RU"/>
              </w:rPr>
              <w:t>1 (80 MW): This project will enhance the reliability of heating and electricity supply for Almaty.</w:t>
            </w:r>
          </w:p>
          <w:p w14:paraId="48DCBD05" w14:textId="11DD01E0" w:rsidR="0064641A" w:rsidRPr="0064641A" w:rsidRDefault="0064641A" w:rsidP="0064641A">
            <w:pPr>
              <w:spacing w:after="0" w:line="240" w:lineRule="auto"/>
              <w:jc w:val="both"/>
              <w:rPr>
                <w:sz w:val="24"/>
                <w:szCs w:val="24"/>
                <w:lang w:val="en-US" w:eastAsia="ru-RU"/>
              </w:rPr>
            </w:pPr>
            <w:r w:rsidRPr="0064641A">
              <w:rPr>
                <w:sz w:val="24"/>
                <w:szCs w:val="24"/>
                <w:lang w:val="en-US" w:eastAsia="ru-RU"/>
              </w:rPr>
              <w:t>2)Modernization of Almaty CHP-2 (37 MW): Aimed at reducing the negative environmental impact of the power station on Almaty</w:t>
            </w:r>
            <w:r>
              <w:rPr>
                <w:sz w:val="24"/>
                <w:szCs w:val="24"/>
                <w:lang w:val="en-US" w:eastAsia="ru-RU"/>
              </w:rPr>
              <w:t xml:space="preserve"> city</w:t>
            </w:r>
            <w:r w:rsidRPr="0064641A">
              <w:rPr>
                <w:sz w:val="24"/>
                <w:szCs w:val="24"/>
                <w:lang w:val="en-US" w:eastAsia="ru-RU"/>
              </w:rPr>
              <w:t xml:space="preserve"> and  Almaty region.</w:t>
            </w:r>
          </w:p>
          <w:p w14:paraId="574C4D38" w14:textId="1590CFA1" w:rsidR="0064641A" w:rsidRPr="0064641A" w:rsidRDefault="0064641A" w:rsidP="0064641A">
            <w:pPr>
              <w:spacing w:after="0" w:line="240" w:lineRule="auto"/>
              <w:jc w:val="both"/>
              <w:rPr>
                <w:sz w:val="24"/>
                <w:szCs w:val="24"/>
                <w:lang w:val="en-US" w:eastAsia="ru-RU"/>
              </w:rPr>
            </w:pPr>
            <w:r w:rsidRPr="0064641A">
              <w:rPr>
                <w:sz w:val="24"/>
                <w:szCs w:val="24"/>
                <w:lang w:val="en-US" w:eastAsia="ru-RU"/>
              </w:rPr>
              <w:t>3)Reconstruction of Almaty CHP-3 (371 MW) with the construction of a combined cycle gas turbine (CCGT): In addition to transitioning to gas, CHPP-3 will operate in a flexible mode to cover peak consumption loads in Almaty</w:t>
            </w:r>
            <w:r w:rsidR="00F823CD">
              <w:rPr>
                <w:sz w:val="24"/>
                <w:szCs w:val="24"/>
                <w:lang w:val="en-US" w:eastAsia="ru-RU"/>
              </w:rPr>
              <w:t xml:space="preserve"> city</w:t>
            </w:r>
            <w:r w:rsidRPr="0064641A">
              <w:rPr>
                <w:sz w:val="24"/>
                <w:szCs w:val="24"/>
                <w:lang w:val="en-US" w:eastAsia="ru-RU"/>
              </w:rPr>
              <w:t xml:space="preserve"> and Almaty region.</w:t>
            </w:r>
          </w:p>
          <w:p w14:paraId="7E799422" w14:textId="1E29C060" w:rsidR="00115D01" w:rsidRPr="0064641A" w:rsidRDefault="0064641A" w:rsidP="00146360">
            <w:pPr>
              <w:spacing w:after="0" w:line="240" w:lineRule="auto"/>
              <w:jc w:val="both"/>
              <w:rPr>
                <w:spacing w:val="-2"/>
                <w:sz w:val="28"/>
                <w:szCs w:val="28"/>
                <w:lang w:val="en-US"/>
              </w:rPr>
            </w:pPr>
            <w:r w:rsidRPr="0064641A">
              <w:rPr>
                <w:sz w:val="24"/>
                <w:szCs w:val="24"/>
                <w:lang w:val="en-US" w:eastAsia="ru-RU"/>
              </w:rPr>
              <w:t xml:space="preserve">The transition of Almaty CHP-2 and CHP-3 to gas is expected to reduce greenhouse gas emissions from </w:t>
            </w:r>
            <w:r w:rsidR="00F823CD">
              <w:rPr>
                <w:sz w:val="24"/>
                <w:szCs w:val="24"/>
                <w:lang w:val="en-US" w:eastAsia="ru-RU"/>
              </w:rPr>
              <w:t>“APP” JSC</w:t>
            </w:r>
            <w:r w:rsidRPr="0064641A">
              <w:rPr>
                <w:sz w:val="24"/>
                <w:szCs w:val="24"/>
                <w:lang w:val="en-US" w:eastAsia="ru-RU"/>
              </w:rPr>
              <w:t xml:space="preserve"> by 30%.</w:t>
            </w:r>
          </w:p>
        </w:tc>
      </w:tr>
      <w:tr w:rsidR="00115D01" w:rsidRPr="00000B35" w14:paraId="11F96AA7" w14:textId="77777777" w:rsidTr="00F823CD">
        <w:trPr>
          <w:trHeight w:val="555"/>
        </w:trPr>
        <w:tc>
          <w:tcPr>
            <w:tcW w:w="2830" w:type="dxa"/>
          </w:tcPr>
          <w:p w14:paraId="52F7907F" w14:textId="3B442944" w:rsidR="00F823CD" w:rsidRPr="00F823CD" w:rsidRDefault="00F823CD" w:rsidP="00F823CD">
            <w:pPr>
              <w:pStyle w:val="a3"/>
              <w:rPr>
                <w:lang w:val="en-US"/>
              </w:rPr>
            </w:pPr>
            <w:r>
              <w:rPr>
                <w:rStyle w:val="af5"/>
                <w:lang w:val="en-US"/>
              </w:rPr>
              <w:t>3</w:t>
            </w:r>
            <w:r w:rsidRPr="00F823CD">
              <w:rPr>
                <w:rStyle w:val="af5"/>
                <w:lang w:val="en-US"/>
              </w:rPr>
              <w:t xml:space="preserve">) Grid </w:t>
            </w:r>
            <w:r w:rsidR="00450888">
              <w:rPr>
                <w:rStyle w:val="af5"/>
                <w:lang w:val="en-US"/>
              </w:rPr>
              <w:t>i</w:t>
            </w:r>
            <w:r w:rsidRPr="00F823CD">
              <w:rPr>
                <w:rStyle w:val="af5"/>
                <w:lang w:val="en-US"/>
              </w:rPr>
              <w:t xml:space="preserve">nfrastructure and </w:t>
            </w:r>
            <w:r w:rsidR="00450888">
              <w:rPr>
                <w:rStyle w:val="af5"/>
                <w:lang w:val="en-US"/>
              </w:rPr>
              <w:t>r</w:t>
            </w:r>
            <w:r w:rsidRPr="00F823CD">
              <w:rPr>
                <w:rStyle w:val="af5"/>
                <w:lang w:val="en-US"/>
              </w:rPr>
              <w:t>egulation</w:t>
            </w:r>
          </w:p>
          <w:p w14:paraId="7E6F4C59" w14:textId="78727200" w:rsidR="00F823CD" w:rsidRPr="00F823CD" w:rsidRDefault="00F823CD" w:rsidP="00F823CD">
            <w:pPr>
              <w:pStyle w:val="a3"/>
              <w:spacing w:before="0" w:beforeAutospacing="0" w:after="0" w:afterAutospacing="0"/>
              <w:rPr>
                <w:b/>
                <w:bCs/>
                <w:lang w:val="en-US"/>
              </w:rPr>
            </w:pPr>
            <w:r w:rsidRPr="00F823CD">
              <w:rPr>
                <w:rStyle w:val="af5"/>
                <w:b w:val="0"/>
                <w:bCs w:val="0"/>
                <w:lang w:val="en-US"/>
              </w:rPr>
              <w:t>3.1. Modernization of grids and implementation of smart grid technologies</w:t>
            </w:r>
            <w:r w:rsidRPr="00F823CD">
              <w:rPr>
                <w:b/>
                <w:bCs/>
                <w:lang w:val="en-US"/>
              </w:rPr>
              <w:t>;</w:t>
            </w:r>
          </w:p>
          <w:p w14:paraId="7BECC6DF" w14:textId="171E4281" w:rsidR="00BE763F" w:rsidRPr="00F823CD" w:rsidRDefault="00F823CD" w:rsidP="00F823CD">
            <w:pPr>
              <w:pStyle w:val="a3"/>
              <w:spacing w:before="0" w:beforeAutospacing="0" w:after="0" w:afterAutospacing="0"/>
              <w:rPr>
                <w:lang w:val="en-US"/>
              </w:rPr>
            </w:pPr>
            <w:r w:rsidRPr="00F823CD">
              <w:rPr>
                <w:rStyle w:val="af5"/>
                <w:b w:val="0"/>
                <w:bCs w:val="0"/>
                <w:lang w:val="en-US"/>
              </w:rPr>
              <w:t>3.2</w:t>
            </w:r>
            <w:r w:rsidRPr="00F823CD">
              <w:rPr>
                <w:rStyle w:val="af5"/>
                <w:lang w:val="en-US"/>
              </w:rPr>
              <w:t xml:space="preserve">. </w:t>
            </w:r>
            <w:r w:rsidRPr="00F823CD">
              <w:rPr>
                <w:rStyle w:val="af5"/>
                <w:b w:val="0"/>
                <w:bCs w:val="0"/>
                <w:lang w:val="en-US"/>
              </w:rPr>
              <w:t>Energy storage systems and flexible generation.</w:t>
            </w:r>
            <w:r w:rsidRPr="00F823CD">
              <w:rPr>
                <w:lang w:val="en-US"/>
              </w:rPr>
              <w:br/>
            </w:r>
          </w:p>
        </w:tc>
        <w:tc>
          <w:tcPr>
            <w:tcW w:w="7365" w:type="dxa"/>
          </w:tcPr>
          <w:p w14:paraId="11368E02" w14:textId="428B41CB" w:rsidR="00F823CD" w:rsidRPr="00F823CD" w:rsidRDefault="00F823CD" w:rsidP="00F823CD">
            <w:pPr>
              <w:pStyle w:val="a3"/>
              <w:jc w:val="both"/>
              <w:rPr>
                <w:lang w:val="en-US"/>
              </w:rPr>
            </w:pPr>
            <w:r>
              <w:rPr>
                <w:rStyle w:val="af5"/>
                <w:lang w:val="en-US"/>
              </w:rPr>
              <w:t>3</w:t>
            </w:r>
            <w:r w:rsidRPr="00F823CD">
              <w:rPr>
                <w:rStyle w:val="af5"/>
                <w:lang w:val="en-US"/>
              </w:rPr>
              <w:t>.1. Modernization of grids and implementation of smart grid technologies</w:t>
            </w:r>
            <w:r w:rsidRPr="00F823CD">
              <w:rPr>
                <w:lang w:val="en-US"/>
              </w:rPr>
              <w:br/>
              <w:t>Achieving the renewable energy targets outlined in the carbon neutrality commitments requires a comprehensive modernization of power grids and the integration of smart grid technologies and energy storage systems. These efforts aim to enhance grid capacity, flexibility, and efficiency to accommodate the growing share of renewable energy sources.</w:t>
            </w:r>
          </w:p>
          <w:p w14:paraId="323763B8" w14:textId="6FAE6107" w:rsidR="000C0331" w:rsidRPr="00F823CD" w:rsidRDefault="00F823CD" w:rsidP="003D194A">
            <w:pPr>
              <w:pStyle w:val="a3"/>
              <w:jc w:val="both"/>
              <w:rPr>
                <w:lang w:val="en-US"/>
              </w:rPr>
            </w:pPr>
            <w:r>
              <w:rPr>
                <w:rStyle w:val="af5"/>
                <w:lang w:val="en-US"/>
              </w:rPr>
              <w:t>3</w:t>
            </w:r>
            <w:r w:rsidRPr="00F823CD">
              <w:rPr>
                <w:rStyle w:val="af5"/>
                <w:lang w:val="en-US"/>
              </w:rPr>
              <w:t>.2. Energy storage systems and flexible generation</w:t>
            </w:r>
            <w:r w:rsidRPr="00F823CD">
              <w:rPr>
                <w:lang w:val="en-US"/>
              </w:rPr>
              <w:br/>
              <w:t>Energy storage and accumulation systems are essential for improving the reliability of electricity supply from renewable sources. They enable the storage of surplus electricity generated during periods of low demand for use during peak load periods. Current projects include the deployment of flexible capacities, ranging from traditional gas-fired power plants, such as the Kyzylorda combined-cycle gas turbine (CCGT) plant, to alternative forms of flexible generation like hydropower plants, pumped-storage hydropower plants, and energy storage systems. The company is committed to actively advancing initiatives in this area to enhance energy stability and efficiency.</w:t>
            </w:r>
          </w:p>
        </w:tc>
      </w:tr>
      <w:tr w:rsidR="00115D01" w:rsidRPr="00000B35" w14:paraId="16EAAC82" w14:textId="77777777" w:rsidTr="00707028">
        <w:tc>
          <w:tcPr>
            <w:tcW w:w="2830" w:type="dxa"/>
          </w:tcPr>
          <w:p w14:paraId="2FF1B4B4" w14:textId="0896477E" w:rsidR="00F823CD" w:rsidRPr="00F823CD" w:rsidRDefault="00F823CD" w:rsidP="00F823CD">
            <w:pPr>
              <w:spacing w:after="0" w:line="240" w:lineRule="auto"/>
              <w:outlineLvl w:val="2"/>
              <w:rPr>
                <w:sz w:val="24"/>
                <w:szCs w:val="24"/>
                <w:lang w:val="en-US" w:eastAsia="ru-RU"/>
              </w:rPr>
            </w:pPr>
            <w:bookmarkStart w:id="12" w:name="_Toc190447148"/>
            <w:r w:rsidRPr="00F823CD">
              <w:rPr>
                <w:sz w:val="24"/>
                <w:szCs w:val="24"/>
                <w:lang w:val="en-US" w:eastAsia="ru-RU"/>
              </w:rPr>
              <w:t>4)Emissions management</w:t>
            </w:r>
            <w:bookmarkEnd w:id="12"/>
          </w:p>
          <w:p w14:paraId="02696C96" w14:textId="5FABE7E9" w:rsidR="00F823CD" w:rsidRPr="00F823CD" w:rsidRDefault="00F823CD" w:rsidP="00F823CD">
            <w:pPr>
              <w:spacing w:after="0" w:line="240" w:lineRule="auto"/>
              <w:rPr>
                <w:sz w:val="24"/>
                <w:szCs w:val="24"/>
                <w:lang w:val="en-US" w:eastAsia="ru-RU"/>
              </w:rPr>
            </w:pPr>
            <w:r w:rsidRPr="00F823CD">
              <w:rPr>
                <w:sz w:val="24"/>
                <w:szCs w:val="24"/>
                <w:lang w:val="en-US" w:eastAsia="ru-RU"/>
              </w:rPr>
              <w:t>4.1. Coal beneficiation and gasification</w:t>
            </w:r>
            <w:r w:rsidRPr="00F823CD">
              <w:rPr>
                <w:sz w:val="24"/>
                <w:szCs w:val="24"/>
                <w:lang w:val="en-US" w:eastAsia="ru-RU"/>
              </w:rPr>
              <w:br/>
              <w:t>4.2. Carbon capture, utilization, and storage (CCUS)</w:t>
            </w:r>
            <w:r w:rsidRPr="00F823CD">
              <w:rPr>
                <w:sz w:val="24"/>
                <w:szCs w:val="24"/>
                <w:lang w:val="en-US" w:eastAsia="ru-RU"/>
              </w:rPr>
              <w:br/>
              <w:t>4.3. Energy efficiency and resource conservation</w:t>
            </w:r>
            <w:r w:rsidRPr="00F823CD">
              <w:rPr>
                <w:sz w:val="24"/>
                <w:szCs w:val="24"/>
                <w:lang w:val="en-US" w:eastAsia="ru-RU"/>
              </w:rPr>
              <w:br/>
              <w:t>4.4. Green transportation</w:t>
            </w:r>
          </w:p>
          <w:p w14:paraId="2177676C" w14:textId="5303DEFF" w:rsidR="00F823CD" w:rsidRPr="00F823CD" w:rsidRDefault="00F823CD" w:rsidP="00F823CD">
            <w:pPr>
              <w:spacing w:after="0" w:line="240" w:lineRule="auto"/>
              <w:rPr>
                <w:sz w:val="24"/>
                <w:szCs w:val="24"/>
                <w:lang w:val="en-US" w:eastAsia="ru-RU"/>
              </w:rPr>
            </w:pPr>
            <w:r w:rsidRPr="00F823CD">
              <w:rPr>
                <w:sz w:val="24"/>
                <w:szCs w:val="24"/>
                <w:lang w:val="en-US" w:eastAsia="ru-RU"/>
              </w:rPr>
              <w:t>4.5. Carbon farms and offsets</w:t>
            </w:r>
            <w:r w:rsidRPr="00F823CD">
              <w:rPr>
                <w:sz w:val="24"/>
                <w:szCs w:val="24"/>
                <w:lang w:val="en-US" w:eastAsia="ru-RU"/>
              </w:rPr>
              <w:br/>
            </w:r>
          </w:p>
          <w:p w14:paraId="6FA67DCF" w14:textId="77777777" w:rsidR="000C0331" w:rsidRPr="007613CD" w:rsidRDefault="000C0331" w:rsidP="009E60F1">
            <w:pPr>
              <w:pStyle w:val="ab"/>
              <w:tabs>
                <w:tab w:val="left" w:pos="993"/>
              </w:tabs>
              <w:ind w:left="313"/>
              <w:rPr>
                <w:szCs w:val="22"/>
                <w:lang w:val="en-US"/>
              </w:rPr>
            </w:pPr>
          </w:p>
        </w:tc>
        <w:tc>
          <w:tcPr>
            <w:tcW w:w="7365" w:type="dxa"/>
          </w:tcPr>
          <w:p w14:paraId="62DD301F" w14:textId="77777777" w:rsidR="007613CD" w:rsidRPr="007613CD" w:rsidRDefault="007613CD" w:rsidP="009D3D02">
            <w:pPr>
              <w:spacing w:after="0" w:line="240" w:lineRule="auto"/>
              <w:outlineLvl w:val="2"/>
              <w:rPr>
                <w:b/>
                <w:bCs/>
                <w:sz w:val="24"/>
                <w:szCs w:val="24"/>
                <w:lang w:val="en-US" w:eastAsia="ru-RU"/>
              </w:rPr>
            </w:pPr>
            <w:bookmarkStart w:id="13" w:name="_Toc190447149"/>
            <w:r w:rsidRPr="007613CD">
              <w:rPr>
                <w:b/>
                <w:bCs/>
                <w:sz w:val="24"/>
                <w:szCs w:val="24"/>
                <w:lang w:val="en-US" w:eastAsia="ru-RU"/>
              </w:rPr>
              <w:t>4.1. Coal beneficiation and gasification</w:t>
            </w:r>
            <w:bookmarkEnd w:id="13"/>
          </w:p>
          <w:p w14:paraId="5A8C12FD" w14:textId="77777777" w:rsidR="007613CD" w:rsidRPr="007613CD" w:rsidRDefault="007613CD" w:rsidP="009D3D02">
            <w:pPr>
              <w:spacing w:after="0" w:line="240" w:lineRule="auto"/>
              <w:rPr>
                <w:sz w:val="24"/>
                <w:szCs w:val="24"/>
                <w:lang w:val="en-US" w:eastAsia="ru-RU"/>
              </w:rPr>
            </w:pPr>
            <w:r w:rsidRPr="007613CD">
              <w:rPr>
                <w:sz w:val="24"/>
                <w:szCs w:val="24"/>
                <w:lang w:val="en-US" w:eastAsia="ru-RU"/>
              </w:rPr>
              <w:t xml:space="preserve">The company continues to explore coal gasification and beneficiation technologies at coal pits. However, several equipment options were considered to assess the feasibility of dry coal beneficiation. After evaluating the technical and economic proposals, financial and economic model calculations showed that implementing a pilot project for the beneficiation of </w:t>
            </w:r>
            <w:proofErr w:type="spellStart"/>
            <w:r w:rsidRPr="007613CD">
              <w:rPr>
                <w:sz w:val="24"/>
                <w:szCs w:val="24"/>
                <w:lang w:val="en-US" w:eastAsia="ru-RU"/>
              </w:rPr>
              <w:t>Ekibastuz</w:t>
            </w:r>
            <w:proofErr w:type="spellEnd"/>
            <w:r w:rsidRPr="007613CD">
              <w:rPr>
                <w:sz w:val="24"/>
                <w:szCs w:val="24"/>
                <w:lang w:val="en-US" w:eastAsia="ru-RU"/>
              </w:rPr>
              <w:t xml:space="preserve"> coal at the "</w:t>
            </w:r>
            <w:proofErr w:type="spellStart"/>
            <w:r w:rsidRPr="007613CD">
              <w:rPr>
                <w:sz w:val="24"/>
                <w:szCs w:val="24"/>
                <w:lang w:val="en-US" w:eastAsia="ru-RU"/>
              </w:rPr>
              <w:t>Severny</w:t>
            </w:r>
            <w:proofErr w:type="spellEnd"/>
            <w:r w:rsidRPr="007613CD">
              <w:rPr>
                <w:sz w:val="24"/>
                <w:szCs w:val="24"/>
                <w:lang w:val="en-US" w:eastAsia="ru-RU"/>
              </w:rPr>
              <w:t>" pit is economically unfeasible.</w:t>
            </w:r>
            <w:r w:rsidRPr="007613CD">
              <w:rPr>
                <w:sz w:val="24"/>
                <w:szCs w:val="24"/>
                <w:lang w:val="en-US" w:eastAsia="ru-RU"/>
              </w:rPr>
              <w:br/>
              <w:t>The company will revisit this issue when technical and financial capabilities become available.</w:t>
            </w:r>
          </w:p>
          <w:p w14:paraId="4AC16C2B" w14:textId="77777777" w:rsidR="007613CD" w:rsidRPr="007613CD" w:rsidRDefault="007613CD" w:rsidP="009D3D02">
            <w:pPr>
              <w:spacing w:after="0" w:line="240" w:lineRule="auto"/>
              <w:outlineLvl w:val="2"/>
              <w:rPr>
                <w:b/>
                <w:bCs/>
                <w:sz w:val="24"/>
                <w:szCs w:val="24"/>
                <w:lang w:val="en-US" w:eastAsia="ru-RU"/>
              </w:rPr>
            </w:pPr>
            <w:bookmarkStart w:id="14" w:name="_Toc190447150"/>
            <w:r w:rsidRPr="007613CD">
              <w:rPr>
                <w:b/>
                <w:bCs/>
                <w:sz w:val="24"/>
                <w:szCs w:val="24"/>
                <w:lang w:val="en-US" w:eastAsia="ru-RU"/>
              </w:rPr>
              <w:t>4.2. CCUS (Carbon Capture, Utilization, and Storage)</w:t>
            </w:r>
            <w:bookmarkEnd w:id="14"/>
          </w:p>
          <w:p w14:paraId="795F9BEA" w14:textId="658962F7" w:rsidR="007613CD" w:rsidRPr="007613CD" w:rsidRDefault="007613CD" w:rsidP="009D3D02">
            <w:pPr>
              <w:spacing w:after="0" w:line="240" w:lineRule="auto"/>
              <w:rPr>
                <w:sz w:val="24"/>
                <w:szCs w:val="24"/>
                <w:lang w:val="en-US" w:eastAsia="ru-RU"/>
              </w:rPr>
            </w:pPr>
            <w:r w:rsidRPr="007613CD">
              <w:rPr>
                <w:sz w:val="24"/>
                <w:szCs w:val="24"/>
                <w:lang w:val="en-US" w:eastAsia="ru-RU"/>
              </w:rPr>
              <w:t>CCUS is considered a potential measure to mitigate the impacts of stabilizing atmospheric concentrations of greenhouse gases. The large-scale application of CCUS technology will depend on its technical maturity, cost, overall potential, distribution, and ability to be implemented on traditional assets, as well as regulatory, environmental, and other factors.</w:t>
            </w:r>
            <w:r w:rsidRPr="007613CD">
              <w:rPr>
                <w:sz w:val="24"/>
                <w:szCs w:val="24"/>
                <w:lang w:val="en-US" w:eastAsia="ru-RU"/>
              </w:rPr>
              <w:br/>
              <w:t xml:space="preserve">Currently, the company is studying CCUS technology and its applicability to the company’s major power plants. </w:t>
            </w:r>
          </w:p>
          <w:p w14:paraId="7D8CD2E2" w14:textId="77777777" w:rsidR="007613CD" w:rsidRPr="007613CD" w:rsidRDefault="007613CD" w:rsidP="009D3D02">
            <w:pPr>
              <w:spacing w:after="0" w:line="240" w:lineRule="auto"/>
              <w:outlineLvl w:val="2"/>
              <w:rPr>
                <w:b/>
                <w:bCs/>
                <w:sz w:val="24"/>
                <w:szCs w:val="24"/>
                <w:lang w:val="en-US" w:eastAsia="ru-RU"/>
              </w:rPr>
            </w:pPr>
            <w:bookmarkStart w:id="15" w:name="_Toc190447151"/>
            <w:r w:rsidRPr="007613CD">
              <w:rPr>
                <w:b/>
                <w:bCs/>
                <w:sz w:val="24"/>
                <w:szCs w:val="24"/>
                <w:lang w:val="en-US" w:eastAsia="ru-RU"/>
              </w:rPr>
              <w:t>4.3. Energy efficiency and resource conservation</w:t>
            </w:r>
            <w:bookmarkEnd w:id="15"/>
          </w:p>
          <w:p w14:paraId="0ACBCA5F" w14:textId="26120E54" w:rsidR="002C405E" w:rsidRPr="007613CD" w:rsidRDefault="007613CD" w:rsidP="009D3D02">
            <w:pPr>
              <w:spacing w:after="0" w:line="240" w:lineRule="auto"/>
              <w:jc w:val="both"/>
              <w:rPr>
                <w:sz w:val="24"/>
                <w:szCs w:val="24"/>
                <w:lang w:val="en-US" w:eastAsia="ru-RU"/>
              </w:rPr>
            </w:pPr>
            <w:r w:rsidRPr="007613CD">
              <w:rPr>
                <w:sz w:val="24"/>
                <w:szCs w:val="24"/>
                <w:lang w:val="en-US" w:eastAsia="ru-RU"/>
              </w:rPr>
              <w:t>Considering the high energy intensity of production, the company places great emphasis on improving energy efficiency. The company implements advanced technologies and utilizes natural resources efficiently. Special attention will be given to the rational use of resourc</w:t>
            </w:r>
            <w:r>
              <w:rPr>
                <w:sz w:val="24"/>
                <w:szCs w:val="24"/>
                <w:lang w:val="en-US" w:eastAsia="ru-RU"/>
              </w:rPr>
              <w:t>es</w:t>
            </w:r>
            <w:r>
              <w:rPr>
                <w:rStyle w:val="afe"/>
                <w:spacing w:val="-2"/>
                <w:lang w:val="en-US"/>
              </w:rPr>
              <w:footnoteReference w:customMarkFollows="1" w:id="5"/>
              <w:t>9</w:t>
            </w:r>
            <w:r w:rsidR="00D54E3F" w:rsidRPr="007613CD">
              <w:rPr>
                <w:spacing w:val="-2"/>
                <w:lang w:val="en-US"/>
              </w:rPr>
              <w:t>.</w:t>
            </w:r>
            <w:r w:rsidR="002C405E" w:rsidRPr="007613CD">
              <w:rPr>
                <w:spacing w:val="-2"/>
                <w:lang w:val="en-US"/>
              </w:rPr>
              <w:t xml:space="preserve"> </w:t>
            </w:r>
            <w:r w:rsidRPr="007613CD">
              <w:rPr>
                <w:lang w:val="en-US"/>
              </w:rPr>
              <w:t>Energy efficiency management is based on an energy management system in compliance with the international standard ISO 50001:2018</w:t>
            </w:r>
          </w:p>
          <w:p w14:paraId="3D6C669F" w14:textId="7236E512" w:rsidR="00173320" w:rsidRPr="00173320" w:rsidRDefault="00173320" w:rsidP="009D3D02">
            <w:pPr>
              <w:pStyle w:val="a3"/>
              <w:spacing w:before="0" w:beforeAutospacing="0" w:after="0" w:afterAutospacing="0"/>
              <w:jc w:val="both"/>
              <w:rPr>
                <w:lang w:val="en-US"/>
              </w:rPr>
            </w:pPr>
            <w:r w:rsidRPr="00173320">
              <w:rPr>
                <w:b/>
                <w:bCs/>
                <w:spacing w:val="-2"/>
                <w:sz w:val="22"/>
                <w:szCs w:val="22"/>
                <w:lang w:val="en-US" w:eastAsia="en-US"/>
              </w:rPr>
              <w:t>4.4</w:t>
            </w:r>
            <w:r w:rsidR="009D3D02">
              <w:rPr>
                <w:b/>
                <w:bCs/>
                <w:spacing w:val="-2"/>
                <w:sz w:val="22"/>
                <w:szCs w:val="22"/>
                <w:lang w:val="en-US" w:eastAsia="en-US"/>
              </w:rPr>
              <w:t xml:space="preserve"> </w:t>
            </w:r>
            <w:r w:rsidRPr="00173320">
              <w:rPr>
                <w:b/>
                <w:bCs/>
                <w:lang w:val="en-US"/>
              </w:rPr>
              <w:t>Green transport</w:t>
            </w:r>
            <w:r w:rsidRPr="00173320">
              <w:rPr>
                <w:lang w:val="en-US"/>
              </w:rPr>
              <w:t>. The company considers "green" transportation as one of the possible measures to reduce greenhouse gas emissions under Scope 3. However, due to the lack of developed necessary infrastructure and sufficient financial incentives, this type of transport has low competitiveness compared to vehicles powered by traditional fuels.</w:t>
            </w:r>
            <w:r w:rsidRPr="00173320">
              <w:rPr>
                <w:lang w:val="en-US"/>
              </w:rPr>
              <w:br/>
              <w:t>For the company, the development of the electric vehicle industry is possible in the following directions:</w:t>
            </w:r>
          </w:p>
          <w:p w14:paraId="02A9C1AD" w14:textId="77777777" w:rsidR="00173320" w:rsidRPr="00173320" w:rsidRDefault="00173320" w:rsidP="00625A42">
            <w:pPr>
              <w:numPr>
                <w:ilvl w:val="0"/>
                <w:numId w:val="20"/>
              </w:numPr>
              <w:spacing w:after="0" w:line="240" w:lineRule="auto"/>
              <w:rPr>
                <w:sz w:val="24"/>
                <w:szCs w:val="24"/>
                <w:lang w:val="en-US" w:eastAsia="ru-RU"/>
              </w:rPr>
            </w:pPr>
            <w:r w:rsidRPr="00173320">
              <w:rPr>
                <w:sz w:val="24"/>
                <w:szCs w:val="24"/>
                <w:lang w:val="en-US" w:eastAsia="ru-RU"/>
              </w:rPr>
              <w:t>Use of renewable energy at electric vehicle charging stations (EVCS).</w:t>
            </w:r>
          </w:p>
          <w:p w14:paraId="4577AA24" w14:textId="77777777" w:rsidR="00173320" w:rsidRPr="00173320" w:rsidRDefault="00173320" w:rsidP="00625A42">
            <w:pPr>
              <w:numPr>
                <w:ilvl w:val="0"/>
                <w:numId w:val="20"/>
              </w:numPr>
              <w:spacing w:after="0" w:line="240" w:lineRule="auto"/>
              <w:rPr>
                <w:sz w:val="24"/>
                <w:szCs w:val="24"/>
                <w:lang w:val="en-US" w:eastAsia="ru-RU"/>
              </w:rPr>
            </w:pPr>
            <w:r w:rsidRPr="00173320">
              <w:rPr>
                <w:sz w:val="24"/>
                <w:szCs w:val="24"/>
                <w:lang w:val="en-US" w:eastAsia="ru-RU"/>
              </w:rPr>
              <w:t>Partial transition of the company’s transport fleet to gas and electric vehicles.</w:t>
            </w:r>
            <w:r w:rsidRPr="00173320">
              <w:rPr>
                <w:sz w:val="24"/>
                <w:szCs w:val="24"/>
                <w:lang w:val="en-US" w:eastAsia="ru-RU"/>
              </w:rPr>
              <w:br/>
              <w:t>Specific decisions regarding this direction will be made after the approval of the Scope 3 categorization in line with the company’s activities.</w:t>
            </w:r>
          </w:p>
          <w:p w14:paraId="2EEEB6E1" w14:textId="57ED4098" w:rsidR="007B71D3" w:rsidRPr="00173320" w:rsidRDefault="00173320" w:rsidP="00E06474">
            <w:pPr>
              <w:spacing w:after="0" w:line="240" w:lineRule="auto"/>
              <w:rPr>
                <w:iCs/>
                <w:spacing w:val="-2"/>
                <w:sz w:val="28"/>
                <w:szCs w:val="28"/>
                <w:lang w:val="en-US"/>
              </w:rPr>
            </w:pPr>
            <w:r w:rsidRPr="00173320">
              <w:rPr>
                <w:sz w:val="24"/>
                <w:szCs w:val="24"/>
                <w:lang w:val="en-US" w:eastAsia="ru-RU"/>
              </w:rPr>
              <w:t xml:space="preserve">4.5. </w:t>
            </w:r>
            <w:r w:rsidRPr="00173320">
              <w:rPr>
                <w:b/>
                <w:bCs/>
                <w:sz w:val="24"/>
                <w:szCs w:val="24"/>
                <w:lang w:val="en-US" w:eastAsia="ru-RU"/>
              </w:rPr>
              <w:t xml:space="preserve">Carbon </w:t>
            </w:r>
            <w:r>
              <w:rPr>
                <w:b/>
                <w:bCs/>
                <w:sz w:val="24"/>
                <w:szCs w:val="24"/>
                <w:lang w:val="en-US" w:eastAsia="ru-RU"/>
              </w:rPr>
              <w:t>f</w:t>
            </w:r>
            <w:r w:rsidRPr="00173320">
              <w:rPr>
                <w:b/>
                <w:bCs/>
                <w:sz w:val="24"/>
                <w:szCs w:val="24"/>
                <w:lang w:val="en-US" w:eastAsia="ru-RU"/>
              </w:rPr>
              <w:t xml:space="preserve">arms and </w:t>
            </w:r>
            <w:r>
              <w:rPr>
                <w:b/>
                <w:bCs/>
                <w:sz w:val="24"/>
                <w:szCs w:val="24"/>
                <w:lang w:val="en-US" w:eastAsia="ru-RU"/>
              </w:rPr>
              <w:t>o</w:t>
            </w:r>
            <w:r w:rsidRPr="00173320">
              <w:rPr>
                <w:b/>
                <w:bCs/>
                <w:sz w:val="24"/>
                <w:szCs w:val="24"/>
                <w:lang w:val="en-US" w:eastAsia="ru-RU"/>
              </w:rPr>
              <w:t>ffsets</w:t>
            </w:r>
            <w:r w:rsidRPr="00173320">
              <w:rPr>
                <w:sz w:val="24"/>
                <w:szCs w:val="24"/>
                <w:lang w:val="en-US" w:eastAsia="ru-RU"/>
              </w:rPr>
              <w:t>. A carbon offset is a way to compensate for greenhouse gas emissions by supporting projects that reduce their levels. Due to stricter environmental regulations and the reduction of free quotas, the company is considering the possibility of intra-group implementation of renewable energy (RE) offset units to compensate for the missing volume of greenhouse gases at traditional stations. However, according to the Procurement Procedure of Samruk-</w:t>
            </w:r>
            <w:proofErr w:type="spellStart"/>
            <w:r w:rsidRPr="00173320">
              <w:rPr>
                <w:sz w:val="24"/>
                <w:szCs w:val="24"/>
                <w:lang w:val="en-US" w:eastAsia="ru-RU"/>
              </w:rPr>
              <w:t>Kazyna</w:t>
            </w:r>
            <w:proofErr w:type="spellEnd"/>
            <w:r w:rsidRPr="00173320">
              <w:rPr>
                <w:sz w:val="24"/>
                <w:szCs w:val="24"/>
                <w:lang w:val="en-US" w:eastAsia="ru-RU"/>
              </w:rPr>
              <w:t xml:space="preserve"> JSC, there is currently no possibility to purchase offsets within the Samruk-</w:t>
            </w:r>
            <w:proofErr w:type="spellStart"/>
            <w:r w:rsidRPr="00173320">
              <w:rPr>
                <w:sz w:val="24"/>
                <w:szCs w:val="24"/>
                <w:lang w:val="en-US" w:eastAsia="ru-RU"/>
              </w:rPr>
              <w:t>Energo</w:t>
            </w:r>
            <w:proofErr w:type="spellEnd"/>
            <w:r w:rsidRPr="00173320">
              <w:rPr>
                <w:sz w:val="24"/>
                <w:szCs w:val="24"/>
                <w:lang w:val="en-US" w:eastAsia="ru-RU"/>
              </w:rPr>
              <w:t xml:space="preserve"> group. This issue requires detailed consideration and support from the Fund.</w:t>
            </w:r>
          </w:p>
        </w:tc>
      </w:tr>
      <w:tr w:rsidR="00115D01" w:rsidRPr="00000B35" w14:paraId="2AC68730" w14:textId="77777777" w:rsidTr="00707028">
        <w:tc>
          <w:tcPr>
            <w:tcW w:w="2830" w:type="dxa"/>
          </w:tcPr>
          <w:p w14:paraId="08F7A75F" w14:textId="2C6BDCF8" w:rsidR="007E48CC" w:rsidRPr="007E48CC" w:rsidRDefault="009D3D02" w:rsidP="009E60F1">
            <w:pPr>
              <w:pStyle w:val="ab"/>
              <w:tabs>
                <w:tab w:val="left" w:pos="171"/>
              </w:tabs>
              <w:ind w:left="18" w:firstLine="295"/>
              <w:rPr>
                <w:rFonts w:eastAsiaTheme="minorHAnsi"/>
                <w:color w:val="000000"/>
                <w:sz w:val="22"/>
                <w:szCs w:val="28"/>
                <w:lang w:eastAsia="en-US"/>
              </w:rPr>
            </w:pPr>
            <w:r>
              <w:rPr>
                <w:rStyle w:val="af5"/>
                <w:lang w:val="en-US"/>
              </w:rPr>
              <w:t xml:space="preserve">5) </w:t>
            </w:r>
            <w:r w:rsidRPr="009D3D02">
              <w:rPr>
                <w:rStyle w:val="af5"/>
                <w:lang w:val="en-US"/>
              </w:rPr>
              <w:t xml:space="preserve">Supporting </w:t>
            </w:r>
            <w:r>
              <w:rPr>
                <w:rStyle w:val="af5"/>
                <w:lang w:val="en-US"/>
              </w:rPr>
              <w:t>m</w:t>
            </w:r>
            <w:r w:rsidRPr="009D3D02">
              <w:rPr>
                <w:rStyle w:val="af5"/>
                <w:lang w:val="en-US"/>
              </w:rPr>
              <w:t>easures</w:t>
            </w:r>
            <w:r w:rsidRPr="009D3D02">
              <w:rPr>
                <w:lang w:val="en-US"/>
              </w:rPr>
              <w:br/>
              <w:t>5.1.</w:t>
            </w:r>
            <w:r w:rsidRPr="009D3D02">
              <w:rPr>
                <w:b/>
                <w:bCs/>
                <w:lang w:val="en-US"/>
              </w:rPr>
              <w:t xml:space="preserve"> </w:t>
            </w:r>
            <w:r w:rsidRPr="009D3D02">
              <w:rPr>
                <w:rStyle w:val="af5"/>
                <w:b w:val="0"/>
                <w:bCs w:val="0"/>
                <w:lang w:val="en-US"/>
              </w:rPr>
              <w:t>Carbon accounting and digitization</w:t>
            </w:r>
            <w:r w:rsidRPr="009D3D02">
              <w:rPr>
                <w:b/>
                <w:bCs/>
                <w:lang w:val="en-US"/>
              </w:rPr>
              <w:br/>
            </w:r>
            <w:r w:rsidRPr="009D3D02">
              <w:rPr>
                <w:lang w:val="en-US"/>
              </w:rPr>
              <w:t>5.2.</w:t>
            </w:r>
            <w:r w:rsidRPr="009D3D02">
              <w:rPr>
                <w:b/>
                <w:bCs/>
                <w:lang w:val="en-US"/>
              </w:rPr>
              <w:t xml:space="preserve"> </w:t>
            </w:r>
            <w:r w:rsidRPr="009D3D02">
              <w:rPr>
                <w:rStyle w:val="af5"/>
                <w:b w:val="0"/>
                <w:bCs w:val="0"/>
                <w:lang w:val="en-US"/>
              </w:rPr>
              <w:t>Changes in the regulatory environment</w:t>
            </w:r>
            <w:r w:rsidRPr="009D3D02">
              <w:rPr>
                <w:b/>
                <w:bCs/>
                <w:lang w:val="en-US"/>
              </w:rPr>
              <w:br/>
            </w:r>
            <w:r w:rsidRPr="009D3D02">
              <w:rPr>
                <w:lang w:val="en-US"/>
              </w:rPr>
              <w:t>5.3.</w:t>
            </w:r>
            <w:r w:rsidRPr="009D3D02">
              <w:rPr>
                <w:b/>
                <w:bCs/>
                <w:lang w:val="en-US"/>
              </w:rPr>
              <w:t xml:space="preserve"> </w:t>
            </w:r>
            <w:r w:rsidRPr="009D3D02">
              <w:rPr>
                <w:rStyle w:val="af5"/>
                <w:b w:val="0"/>
                <w:bCs w:val="0"/>
                <w:lang w:val="en-US"/>
              </w:rPr>
              <w:t>Green financing</w:t>
            </w:r>
            <w:r w:rsidRPr="009D3D02">
              <w:rPr>
                <w:b/>
                <w:bCs/>
                <w:lang w:val="en-US"/>
              </w:rPr>
              <w:br/>
            </w:r>
            <w:r w:rsidRPr="009D3D02">
              <w:rPr>
                <w:lang w:val="en-US"/>
              </w:rPr>
              <w:t>5.4.</w:t>
            </w:r>
            <w:r w:rsidRPr="009D3D02">
              <w:rPr>
                <w:b/>
                <w:bCs/>
                <w:lang w:val="en-US"/>
              </w:rPr>
              <w:t xml:space="preserve"> </w:t>
            </w:r>
            <w:r w:rsidRPr="009D3D02">
              <w:rPr>
                <w:rStyle w:val="af5"/>
                <w:b w:val="0"/>
                <w:bCs w:val="0"/>
                <w:lang w:val="en-US"/>
              </w:rPr>
              <w:t>Compliance with ESG criteria</w:t>
            </w:r>
            <w:r w:rsidRPr="009D3D02">
              <w:rPr>
                <w:b/>
                <w:bCs/>
                <w:lang w:val="en-US"/>
              </w:rPr>
              <w:br/>
            </w:r>
            <w:r w:rsidRPr="009D3D02">
              <w:rPr>
                <w:lang w:val="en-US"/>
              </w:rPr>
              <w:t>5.5.</w:t>
            </w:r>
            <w:r w:rsidRPr="009D3D02">
              <w:rPr>
                <w:b/>
                <w:bCs/>
                <w:lang w:val="en-US"/>
              </w:rPr>
              <w:t xml:space="preserve"> </w:t>
            </w:r>
            <w:proofErr w:type="spellStart"/>
            <w:r w:rsidRPr="009D3D02">
              <w:rPr>
                <w:rStyle w:val="af5"/>
                <w:b w:val="0"/>
                <w:bCs w:val="0"/>
              </w:rPr>
              <w:t>Localization</w:t>
            </w:r>
            <w:proofErr w:type="spellEnd"/>
            <w:r w:rsidRPr="009D3D02">
              <w:rPr>
                <w:rStyle w:val="af5"/>
                <w:b w:val="0"/>
                <w:bCs w:val="0"/>
              </w:rPr>
              <w:t xml:space="preserve"> </w:t>
            </w:r>
            <w:proofErr w:type="spellStart"/>
            <w:r w:rsidRPr="009D3D02">
              <w:rPr>
                <w:rStyle w:val="af5"/>
                <w:b w:val="0"/>
                <w:bCs w:val="0"/>
              </w:rPr>
              <w:t>of</w:t>
            </w:r>
            <w:proofErr w:type="spellEnd"/>
            <w:r w:rsidRPr="009D3D02">
              <w:rPr>
                <w:rStyle w:val="af5"/>
                <w:b w:val="0"/>
                <w:bCs w:val="0"/>
              </w:rPr>
              <w:t xml:space="preserve"> </w:t>
            </w:r>
            <w:r w:rsidRPr="009D3D02">
              <w:rPr>
                <w:rStyle w:val="af5"/>
                <w:b w:val="0"/>
                <w:bCs w:val="0"/>
                <w:lang w:val="en-US"/>
              </w:rPr>
              <w:t>p</w:t>
            </w:r>
            <w:proofErr w:type="spellStart"/>
            <w:r w:rsidRPr="009D3D02">
              <w:rPr>
                <w:rStyle w:val="af5"/>
                <w:b w:val="0"/>
                <w:bCs w:val="0"/>
              </w:rPr>
              <w:t>roduction</w:t>
            </w:r>
            <w:proofErr w:type="spellEnd"/>
            <w:r w:rsidR="001B3776" w:rsidRPr="009D3D02">
              <w:rPr>
                <w:rFonts w:eastAsiaTheme="minorHAnsi"/>
                <w:b/>
                <w:bCs/>
                <w:color w:val="000000"/>
                <w:sz w:val="22"/>
                <w:szCs w:val="28"/>
                <w:lang w:eastAsia="en-US"/>
              </w:rPr>
              <w:t>.</w:t>
            </w:r>
          </w:p>
          <w:p w14:paraId="1FDC8EB4" w14:textId="77777777" w:rsidR="007E48CC" w:rsidRPr="007E48CC" w:rsidRDefault="007E48CC" w:rsidP="009E60F1">
            <w:pPr>
              <w:tabs>
                <w:tab w:val="left" w:pos="171"/>
              </w:tabs>
              <w:spacing w:after="0" w:line="240" w:lineRule="auto"/>
            </w:pPr>
          </w:p>
        </w:tc>
        <w:tc>
          <w:tcPr>
            <w:tcW w:w="7365" w:type="dxa"/>
          </w:tcPr>
          <w:p w14:paraId="6B5B42CA" w14:textId="3C1AF39B" w:rsidR="00904C61" w:rsidRPr="00904C61" w:rsidRDefault="00904C61" w:rsidP="00904C61">
            <w:pPr>
              <w:pStyle w:val="Default"/>
              <w:ind w:firstLine="34"/>
              <w:jc w:val="both"/>
              <w:rPr>
                <w:b/>
                <w:bCs/>
                <w:lang w:val="en-US" w:eastAsia="ru-RU"/>
              </w:rPr>
            </w:pPr>
            <w:r w:rsidRPr="00904C61">
              <w:rPr>
                <w:rFonts w:ascii="Times New Roman" w:hAnsi="Times New Roman" w:cs="Times New Roman"/>
                <w:b/>
                <w:bCs/>
                <w:sz w:val="22"/>
                <w:szCs w:val="28"/>
                <w:lang w:val="en-US"/>
              </w:rPr>
              <w:t>5</w:t>
            </w:r>
            <w:r w:rsidR="007635AC" w:rsidRPr="00904C61">
              <w:rPr>
                <w:rFonts w:ascii="Times New Roman" w:hAnsi="Times New Roman" w:cs="Times New Roman"/>
                <w:b/>
                <w:bCs/>
                <w:sz w:val="22"/>
                <w:szCs w:val="28"/>
                <w:lang w:val="en-US"/>
              </w:rPr>
              <w:t xml:space="preserve">.1. </w:t>
            </w:r>
            <w:r w:rsidRPr="00904C61">
              <w:rPr>
                <w:rFonts w:ascii="Times New Roman" w:hAnsi="Times New Roman" w:cs="Times New Roman"/>
                <w:b/>
                <w:bCs/>
                <w:sz w:val="22"/>
                <w:szCs w:val="28"/>
                <w:lang w:val="en-US"/>
              </w:rPr>
              <w:t>Carbon accounting and digitization</w:t>
            </w:r>
          </w:p>
          <w:p w14:paraId="4588DD09" w14:textId="681CF6F5" w:rsidR="00904C61" w:rsidRPr="00904C61" w:rsidRDefault="00904C61" w:rsidP="00085AF7">
            <w:pPr>
              <w:spacing w:after="0" w:line="240" w:lineRule="auto"/>
              <w:rPr>
                <w:sz w:val="24"/>
                <w:szCs w:val="24"/>
                <w:lang w:val="en-US" w:eastAsia="ru-RU"/>
              </w:rPr>
            </w:pPr>
            <w:r w:rsidRPr="00904C61">
              <w:rPr>
                <w:sz w:val="24"/>
                <w:szCs w:val="24"/>
                <w:lang w:val="en-US" w:eastAsia="ru-RU"/>
              </w:rPr>
              <w:t>Accurate and effective measurement of greenhouse gas emissions and carbon dioxide absorption is a key requirement for integration into internationally recognized emissions trading systems and carbon units. In this regard, to conduct a comprehensive analysis and assessment of the current situation regarding direct and indirect greenhouse gas emissions, using a unified methodological approach to emissions calculations, the Company will develop reporting practices under the CDP climate program.</w:t>
            </w:r>
            <w:r w:rsidRPr="00904C61">
              <w:rPr>
                <w:sz w:val="24"/>
                <w:szCs w:val="24"/>
                <w:lang w:val="en-US" w:eastAsia="ru-RU"/>
              </w:rPr>
              <w:br/>
              <w:t>The technological process in the energy sector is shifting towards increasing the share of renewable energy sources (RES), as well as digitalizing infrastructure. Modernizing energy infrastructure will focus on reducing the wear and tear of generating capacities, as well as enhancing equipment with modern metering systems, which will reduce overall losses and system failures, thus aligning with sustainable development goals.</w:t>
            </w:r>
            <w:r w:rsidRPr="00904C61">
              <w:rPr>
                <w:sz w:val="24"/>
                <w:szCs w:val="24"/>
                <w:lang w:val="en-US" w:eastAsia="ru-RU"/>
              </w:rPr>
              <w:br/>
              <w:t>The implementation of intelligent technologies will significantly increase the reliability and quality of energy supply, improve the efficiency of primary energy use, reduce production process costs and environmental impact, and ensure compliance with advanced corporate governance practices in terms of information disclosure and data validation and verification tools.</w:t>
            </w:r>
          </w:p>
          <w:p w14:paraId="2E947418" w14:textId="7A775EDF" w:rsidR="00904C61" w:rsidRPr="00904C61" w:rsidRDefault="00904C61" w:rsidP="00904C61">
            <w:pPr>
              <w:spacing w:after="0" w:line="240" w:lineRule="auto"/>
              <w:rPr>
                <w:sz w:val="24"/>
                <w:szCs w:val="24"/>
                <w:lang w:val="en-US" w:eastAsia="ru-RU"/>
              </w:rPr>
            </w:pPr>
            <w:r w:rsidRPr="00904C61">
              <w:rPr>
                <w:b/>
                <w:bCs/>
                <w:lang w:val="en-US" w:eastAsia="ru-RU"/>
              </w:rPr>
              <w:t>5.2. Changes in the regulatory environment</w:t>
            </w:r>
            <w:r w:rsidRPr="00904C61">
              <w:rPr>
                <w:sz w:val="24"/>
                <w:szCs w:val="24"/>
                <w:lang w:val="en-US" w:eastAsia="ru-RU"/>
              </w:rPr>
              <w:br/>
              <w:t>The decarbonization process requires studying and developing proposals to improve Kazakhstan's regulatory framework. Proposals to enhance the regulatory environment should address issues such as tariff regulation, support measures for RES, improvement of quota distribution mechanisms, stimulation of electricity consumption reduction, creation of an effective offset unit trading system, and more.</w:t>
            </w:r>
          </w:p>
          <w:p w14:paraId="103694B0" w14:textId="2D37331F" w:rsidR="00904C61" w:rsidRPr="00904C61" w:rsidRDefault="00904C61" w:rsidP="00904C61">
            <w:pPr>
              <w:spacing w:after="0" w:line="240" w:lineRule="auto"/>
              <w:rPr>
                <w:sz w:val="24"/>
                <w:szCs w:val="24"/>
                <w:lang w:val="en-US" w:eastAsia="ru-RU"/>
              </w:rPr>
            </w:pPr>
            <w:r w:rsidRPr="00904C61">
              <w:rPr>
                <w:b/>
                <w:bCs/>
                <w:lang w:val="en-US" w:eastAsia="ru-RU"/>
              </w:rPr>
              <w:t>5.3. Green financing</w:t>
            </w:r>
            <w:r w:rsidRPr="00904C61">
              <w:rPr>
                <w:sz w:val="24"/>
                <w:szCs w:val="24"/>
                <w:lang w:val="en-US" w:eastAsia="ru-RU"/>
              </w:rPr>
              <w:br/>
              <w:t>The trend towards investments in green projects (green financing) offers new opportunities for attracting additional funding sources for RES projects. The main tools for green financing include green bonds, green preferential loans, and subsidies for green projects.</w:t>
            </w:r>
            <w:r w:rsidRPr="00904C61">
              <w:rPr>
                <w:sz w:val="24"/>
                <w:szCs w:val="24"/>
                <w:lang w:val="en-US" w:eastAsia="ru-RU"/>
              </w:rPr>
              <w:br/>
              <w:t xml:space="preserve">On November 25, 2021, </w:t>
            </w:r>
            <w:r>
              <w:rPr>
                <w:sz w:val="24"/>
                <w:szCs w:val="24"/>
                <w:lang w:val="en-US" w:eastAsia="ru-RU"/>
              </w:rPr>
              <w:t>“</w:t>
            </w:r>
            <w:r w:rsidRPr="00904C61">
              <w:rPr>
                <w:sz w:val="24"/>
                <w:szCs w:val="24"/>
                <w:lang w:val="en-US" w:eastAsia="ru-RU"/>
              </w:rPr>
              <w:t>Samruk-Energy</w:t>
            </w:r>
            <w:r>
              <w:rPr>
                <w:sz w:val="24"/>
                <w:szCs w:val="24"/>
                <w:lang w:val="en-US" w:eastAsia="ru-RU"/>
              </w:rPr>
              <w:t>”</w:t>
            </w:r>
            <w:r w:rsidRPr="00904C61">
              <w:rPr>
                <w:sz w:val="24"/>
                <w:szCs w:val="24"/>
                <w:lang w:val="en-US" w:eastAsia="ru-RU"/>
              </w:rPr>
              <w:t xml:space="preserve"> JSC held its debut green bond issuance through a public subscription on the Astana International Exchange (AIX) stock exchange, totaling 18.4 billion tenge with a coupon rate of 11.4% per annum and a maturity period of 6.5 years.</w:t>
            </w:r>
          </w:p>
          <w:p w14:paraId="18F2E0DB" w14:textId="6FC1B893" w:rsidR="00904C61" w:rsidRPr="00904C61" w:rsidRDefault="00904C61" w:rsidP="00904C61">
            <w:pPr>
              <w:spacing w:after="0" w:line="240" w:lineRule="auto"/>
              <w:rPr>
                <w:sz w:val="24"/>
                <w:szCs w:val="24"/>
                <w:lang w:val="en-US" w:eastAsia="ru-RU"/>
              </w:rPr>
            </w:pPr>
            <w:r w:rsidRPr="00904C61">
              <w:rPr>
                <w:b/>
                <w:bCs/>
                <w:lang w:val="en-US" w:eastAsia="ru-RU"/>
              </w:rPr>
              <w:t>5.4. Compliance with ESG criteria</w:t>
            </w:r>
            <w:r w:rsidRPr="00904C61">
              <w:rPr>
                <w:sz w:val="24"/>
                <w:szCs w:val="24"/>
                <w:lang w:val="en-US" w:eastAsia="ru-RU"/>
              </w:rPr>
              <w:br/>
              <w:t xml:space="preserve">Today, the Company actively integrates sustainable development principles into its operations. </w:t>
            </w:r>
            <w:r>
              <w:rPr>
                <w:sz w:val="24"/>
                <w:szCs w:val="24"/>
                <w:lang w:val="en-US" w:eastAsia="ru-RU"/>
              </w:rPr>
              <w:t>“</w:t>
            </w:r>
            <w:r w:rsidRPr="00904C61">
              <w:rPr>
                <w:sz w:val="24"/>
                <w:szCs w:val="24"/>
                <w:lang w:val="en-US" w:eastAsia="ru-RU"/>
              </w:rPr>
              <w:t>Samruk-Energy</w:t>
            </w:r>
            <w:r>
              <w:rPr>
                <w:sz w:val="24"/>
                <w:szCs w:val="24"/>
                <w:lang w:val="en-US" w:eastAsia="ru-RU"/>
              </w:rPr>
              <w:t>”</w:t>
            </w:r>
            <w:r w:rsidRPr="00904C61">
              <w:rPr>
                <w:sz w:val="24"/>
                <w:szCs w:val="24"/>
                <w:lang w:val="en-US" w:eastAsia="ru-RU"/>
              </w:rPr>
              <w:t xml:space="preserve"> JSC publishes annual reports on sustainable development, and most of the Company’s operations are certified according to international ISO standards. In 2023, the ESG risk rating of </w:t>
            </w:r>
            <w:r>
              <w:rPr>
                <w:sz w:val="24"/>
                <w:szCs w:val="24"/>
                <w:lang w:val="en-US" w:eastAsia="ru-RU"/>
              </w:rPr>
              <w:t>“</w:t>
            </w:r>
            <w:r w:rsidRPr="00904C61">
              <w:rPr>
                <w:sz w:val="24"/>
                <w:szCs w:val="24"/>
                <w:lang w:val="en-US" w:eastAsia="ru-RU"/>
              </w:rPr>
              <w:t>Samruk-Energy</w:t>
            </w:r>
            <w:r>
              <w:rPr>
                <w:sz w:val="24"/>
                <w:szCs w:val="24"/>
                <w:lang w:val="en-US" w:eastAsia="ru-RU"/>
              </w:rPr>
              <w:t>”</w:t>
            </w:r>
            <w:r w:rsidRPr="00904C61">
              <w:rPr>
                <w:sz w:val="24"/>
                <w:szCs w:val="24"/>
                <w:lang w:val="en-US" w:eastAsia="ru-RU"/>
              </w:rPr>
              <w:t xml:space="preserve"> JSC was 24.1 points, corresponding to the Medium </w:t>
            </w:r>
            <w:r>
              <w:rPr>
                <w:sz w:val="24"/>
                <w:szCs w:val="24"/>
                <w:lang w:val="en-US" w:eastAsia="ru-RU"/>
              </w:rPr>
              <w:t>r</w:t>
            </w:r>
            <w:r w:rsidRPr="00904C61">
              <w:rPr>
                <w:sz w:val="24"/>
                <w:szCs w:val="24"/>
                <w:lang w:val="en-US" w:eastAsia="ru-RU"/>
              </w:rPr>
              <w:t xml:space="preserve">isk level according to </w:t>
            </w:r>
            <w:proofErr w:type="spellStart"/>
            <w:r w:rsidRPr="00904C61">
              <w:rPr>
                <w:sz w:val="24"/>
                <w:szCs w:val="24"/>
                <w:lang w:val="en-US" w:eastAsia="ru-RU"/>
              </w:rPr>
              <w:t>Sustainalytics</w:t>
            </w:r>
            <w:proofErr w:type="spellEnd"/>
            <w:r w:rsidRPr="00904C61">
              <w:rPr>
                <w:sz w:val="24"/>
                <w:szCs w:val="24"/>
                <w:lang w:val="en-US" w:eastAsia="ru-RU"/>
              </w:rPr>
              <w:t xml:space="preserve">. Implementing a strategy for the continuous improvement of the ESG rating will help the Company enhance its image among potential investors and expand the scope of modern ESG practices (offset carbon projects, climate projects, etc.). To maintain and improve the ESG rating, the Company has developed a Roadmap for improving the sustainable development management system at </w:t>
            </w:r>
            <w:r>
              <w:rPr>
                <w:sz w:val="24"/>
                <w:szCs w:val="24"/>
                <w:lang w:val="en-US" w:eastAsia="ru-RU"/>
              </w:rPr>
              <w:t>“</w:t>
            </w:r>
            <w:r w:rsidRPr="00904C61">
              <w:rPr>
                <w:sz w:val="24"/>
                <w:szCs w:val="24"/>
                <w:lang w:val="en-US" w:eastAsia="ru-RU"/>
              </w:rPr>
              <w:t>Samruk-Energy</w:t>
            </w:r>
            <w:r>
              <w:rPr>
                <w:sz w:val="24"/>
                <w:szCs w:val="24"/>
                <w:lang w:val="en-US" w:eastAsia="ru-RU"/>
              </w:rPr>
              <w:t>”</w:t>
            </w:r>
            <w:r w:rsidRPr="00904C61">
              <w:rPr>
                <w:sz w:val="24"/>
                <w:szCs w:val="24"/>
                <w:lang w:val="en-US" w:eastAsia="ru-RU"/>
              </w:rPr>
              <w:t xml:space="preserve"> JSC. For monitoring and reporting purposes, the Company has an Instruction on calculating greenhouse gases and offset units across Samruk-Energy Group (according to the Methodology for calculating greenhouse gas emissions and absorption), which defines the main approaches to calculating greenhouse gases and offset units.</w:t>
            </w:r>
          </w:p>
          <w:p w14:paraId="3DBBB7C8" w14:textId="75FB3B2F" w:rsidR="00904C61" w:rsidRPr="00904C61" w:rsidRDefault="00FE42EA" w:rsidP="00904C61">
            <w:pPr>
              <w:pStyle w:val="a3"/>
              <w:spacing w:before="0" w:beforeAutospacing="0" w:after="0" w:afterAutospacing="0"/>
              <w:rPr>
                <w:lang w:val="en-US"/>
              </w:rPr>
            </w:pPr>
            <w:r w:rsidRPr="00904C61">
              <w:rPr>
                <w:lang w:val="en-US"/>
              </w:rPr>
              <w:t>5</w:t>
            </w:r>
            <w:r w:rsidR="007E48CC" w:rsidRPr="00904C61">
              <w:rPr>
                <w:lang w:val="en-US"/>
              </w:rPr>
              <w:t>.5.</w:t>
            </w:r>
            <w:r w:rsidR="007E48CC" w:rsidRPr="00904C61">
              <w:rPr>
                <w:b/>
                <w:lang w:val="en-US"/>
              </w:rPr>
              <w:t xml:space="preserve"> </w:t>
            </w:r>
            <w:r w:rsidR="00904C61" w:rsidRPr="00904C61">
              <w:rPr>
                <w:b/>
                <w:bCs/>
                <w:lang w:val="en-US"/>
              </w:rPr>
              <w:t xml:space="preserve">Localization of </w:t>
            </w:r>
            <w:r w:rsidR="00904C61">
              <w:rPr>
                <w:b/>
                <w:bCs/>
                <w:lang w:val="en-US"/>
              </w:rPr>
              <w:t>p</w:t>
            </w:r>
            <w:r w:rsidR="00904C61" w:rsidRPr="00904C61">
              <w:rPr>
                <w:b/>
                <w:bCs/>
                <w:lang w:val="en-US"/>
              </w:rPr>
              <w:t>roduction</w:t>
            </w:r>
            <w:r w:rsidR="00904C61" w:rsidRPr="00904C61">
              <w:rPr>
                <w:lang w:val="en-US"/>
              </w:rPr>
              <w:br/>
              <w:t>A high level of import substitution in the energy sector exposes the industry to risks due to disruptions in global supply chains. Shifting the production of key components to the domestic market will reduce costs, enhance the country's energy security, and stimulate the development of local manufacturing.</w:t>
            </w:r>
            <w:r w:rsidR="00904C61" w:rsidRPr="00904C61">
              <w:rPr>
                <w:lang w:val="en-US"/>
              </w:rPr>
              <w:br/>
              <w:t xml:space="preserve">The Company regularly conducts activities to increase domestic value in accordance with the Program for </w:t>
            </w:r>
            <w:r w:rsidR="00904C61">
              <w:rPr>
                <w:lang w:val="en-US"/>
              </w:rPr>
              <w:t>i</w:t>
            </w:r>
            <w:r w:rsidR="00904C61" w:rsidRPr="00904C61">
              <w:rPr>
                <w:lang w:val="en-US"/>
              </w:rPr>
              <w:t xml:space="preserve">ncreasing </w:t>
            </w:r>
            <w:r w:rsidR="00904C61">
              <w:rPr>
                <w:lang w:val="en-US"/>
              </w:rPr>
              <w:t>d</w:t>
            </w:r>
            <w:r w:rsidR="00904C61" w:rsidRPr="00904C61">
              <w:rPr>
                <w:lang w:val="en-US"/>
              </w:rPr>
              <w:t xml:space="preserve">omestic </w:t>
            </w:r>
            <w:r w:rsidR="00904C61">
              <w:rPr>
                <w:lang w:val="en-US"/>
              </w:rPr>
              <w:t>v</w:t>
            </w:r>
            <w:r w:rsidR="00904C61" w:rsidRPr="00904C61">
              <w:rPr>
                <w:lang w:val="en-US"/>
              </w:rPr>
              <w:t xml:space="preserve">alue in the overall procurement of goods, works, and services at </w:t>
            </w:r>
            <w:r w:rsidR="00904C61">
              <w:rPr>
                <w:lang w:val="en-US"/>
              </w:rPr>
              <w:t>“</w:t>
            </w:r>
            <w:r w:rsidR="00904C61" w:rsidRPr="00904C61">
              <w:rPr>
                <w:lang w:val="en-US"/>
              </w:rPr>
              <w:t>Samruk-Energy</w:t>
            </w:r>
            <w:r w:rsidR="00904C61">
              <w:rPr>
                <w:lang w:val="en-US"/>
              </w:rPr>
              <w:t>”</w:t>
            </w:r>
            <w:r w:rsidR="00904C61" w:rsidRPr="00904C61">
              <w:rPr>
                <w:lang w:val="en-US"/>
              </w:rPr>
              <w:t xml:space="preserve"> JSC, including the implementation of investment projects to establish new production capacities for subsidiaries:</w:t>
            </w:r>
          </w:p>
          <w:p w14:paraId="6586415B" w14:textId="0BC7BB1D" w:rsidR="00904C61" w:rsidRPr="00904C61" w:rsidRDefault="00904C61" w:rsidP="00904C61">
            <w:pPr>
              <w:spacing w:after="0" w:line="240" w:lineRule="auto"/>
              <w:rPr>
                <w:sz w:val="24"/>
                <w:szCs w:val="24"/>
                <w:lang w:val="en-US" w:eastAsia="ru-RU"/>
              </w:rPr>
            </w:pPr>
            <w:r>
              <w:rPr>
                <w:sz w:val="24"/>
                <w:szCs w:val="24"/>
                <w:lang w:val="en-US" w:eastAsia="ru-RU"/>
              </w:rPr>
              <w:t>-</w:t>
            </w:r>
            <w:r w:rsidRPr="00904C61">
              <w:rPr>
                <w:sz w:val="24"/>
                <w:szCs w:val="24"/>
                <w:lang w:val="en-US" w:eastAsia="ru-RU"/>
              </w:rPr>
              <w:t>Organizing the production of components (blades, gondolas, and towers) for wind power plants in partnership with partners;</w:t>
            </w:r>
          </w:p>
          <w:p w14:paraId="4A5144BB" w14:textId="4BA5924A" w:rsidR="00B03C29" w:rsidRPr="00904C61" w:rsidRDefault="00904C61" w:rsidP="00904C61">
            <w:pPr>
              <w:spacing w:after="0" w:line="240" w:lineRule="auto"/>
              <w:rPr>
                <w:sz w:val="24"/>
                <w:szCs w:val="24"/>
                <w:lang w:val="en-US" w:eastAsia="ru-RU"/>
              </w:rPr>
            </w:pPr>
            <w:r>
              <w:rPr>
                <w:sz w:val="24"/>
                <w:szCs w:val="24"/>
                <w:lang w:val="en-US" w:eastAsia="ru-RU"/>
              </w:rPr>
              <w:t>-</w:t>
            </w:r>
            <w:r w:rsidRPr="00904C61">
              <w:rPr>
                <w:sz w:val="24"/>
                <w:szCs w:val="24"/>
                <w:lang w:val="en-US" w:eastAsia="ru-RU"/>
              </w:rPr>
              <w:t>Organizing the production of special equipment in Kazakhstan: localization of a factory with large-scale assembly technology (SKD) transitioning to small-scale assembly (CKD) in collaboration with partners</w:t>
            </w:r>
            <w:r>
              <w:rPr>
                <w:sz w:val="24"/>
                <w:szCs w:val="24"/>
                <w:lang w:val="en-US" w:eastAsia="ru-RU"/>
              </w:rPr>
              <w:t xml:space="preserve">. </w:t>
            </w:r>
          </w:p>
        </w:tc>
      </w:tr>
    </w:tbl>
    <w:p w14:paraId="1D3CFA55" w14:textId="77777777" w:rsidR="00115D01" w:rsidRPr="00904C61" w:rsidRDefault="00115D01" w:rsidP="009E60F1">
      <w:pPr>
        <w:pStyle w:val="Default"/>
        <w:ind w:firstLine="426"/>
        <w:jc w:val="both"/>
        <w:rPr>
          <w:rFonts w:ascii="Times New Roman" w:hAnsi="Times New Roman" w:cs="Times New Roman"/>
          <w:szCs w:val="22"/>
          <w:lang w:val="en-US"/>
        </w:rPr>
      </w:pPr>
    </w:p>
    <w:p w14:paraId="4C424920" w14:textId="77777777" w:rsidR="00350960" w:rsidRPr="00350960" w:rsidRDefault="00350960" w:rsidP="00350960">
      <w:pPr>
        <w:spacing w:after="0" w:line="240" w:lineRule="auto"/>
        <w:rPr>
          <w:sz w:val="24"/>
          <w:szCs w:val="24"/>
          <w:lang w:val="en-US" w:eastAsia="ru-RU"/>
        </w:rPr>
      </w:pPr>
      <w:r w:rsidRPr="00350960">
        <w:rPr>
          <w:sz w:val="24"/>
          <w:szCs w:val="24"/>
          <w:lang w:val="en-US" w:eastAsia="ru-RU"/>
        </w:rPr>
        <w:t>As part of the current Program and in light of the chosen directions, the Company models three possible development scenarios: two ambitious ones involving active changes and one baseline scenario reflecting the inertial development of the existing business model:</w:t>
      </w:r>
    </w:p>
    <w:p w14:paraId="25FC1BC8" w14:textId="176B601B" w:rsidR="00350960" w:rsidRPr="00350960" w:rsidRDefault="00350960" w:rsidP="00625A42">
      <w:pPr>
        <w:pStyle w:val="ab"/>
        <w:numPr>
          <w:ilvl w:val="0"/>
          <w:numId w:val="21"/>
        </w:numPr>
        <w:rPr>
          <w:szCs w:val="24"/>
          <w:lang w:val="en-US"/>
        </w:rPr>
      </w:pPr>
      <w:r w:rsidRPr="00350960">
        <w:rPr>
          <w:b/>
          <w:bCs/>
          <w:szCs w:val="24"/>
          <w:lang w:val="en-US"/>
        </w:rPr>
        <w:t>Business as usual (BAU)</w:t>
      </w:r>
      <w:r w:rsidRPr="00350960">
        <w:rPr>
          <w:szCs w:val="24"/>
          <w:lang w:val="en-US"/>
        </w:rPr>
        <w:t xml:space="preserve"> – The baseline scenario models the development of the Company in the absence of significant technological breakthroughs and new climate policies. It is based on the extrapolation of historical data and reflects the inertial development path of the energy sector.</w:t>
      </w:r>
    </w:p>
    <w:p w14:paraId="53C28240" w14:textId="77777777" w:rsidR="00350960" w:rsidRPr="00350960" w:rsidRDefault="00350960" w:rsidP="00625A42">
      <w:pPr>
        <w:numPr>
          <w:ilvl w:val="0"/>
          <w:numId w:val="21"/>
        </w:numPr>
        <w:spacing w:after="0" w:line="240" w:lineRule="auto"/>
        <w:rPr>
          <w:sz w:val="24"/>
          <w:szCs w:val="24"/>
          <w:lang w:val="en-US" w:eastAsia="ru-RU"/>
        </w:rPr>
      </w:pPr>
      <w:r w:rsidRPr="00350960">
        <w:rPr>
          <w:b/>
          <w:bCs/>
          <w:sz w:val="24"/>
          <w:szCs w:val="24"/>
          <w:lang w:val="en-US" w:eastAsia="ru-RU"/>
        </w:rPr>
        <w:t>Decarbonization</w:t>
      </w:r>
      <w:r w:rsidRPr="00350960">
        <w:rPr>
          <w:sz w:val="24"/>
          <w:szCs w:val="24"/>
          <w:lang w:val="en-US" w:eastAsia="ru-RU"/>
        </w:rPr>
        <w:t xml:space="preserve"> – A scenario of moderate decarbonization, implying a phased reduction of the carbon footprint. This is the unconditional target scenario and the optimal course of events.</w:t>
      </w:r>
    </w:p>
    <w:p w14:paraId="680BACBC" w14:textId="34A45E22" w:rsidR="00350960" w:rsidRPr="00350960" w:rsidRDefault="00350960" w:rsidP="00625A42">
      <w:pPr>
        <w:numPr>
          <w:ilvl w:val="0"/>
          <w:numId w:val="21"/>
        </w:numPr>
        <w:spacing w:after="0" w:line="240" w:lineRule="auto"/>
        <w:rPr>
          <w:sz w:val="24"/>
          <w:szCs w:val="24"/>
          <w:lang w:val="en-US" w:eastAsia="ru-RU"/>
        </w:rPr>
      </w:pPr>
      <w:r w:rsidRPr="00350960">
        <w:rPr>
          <w:b/>
          <w:bCs/>
          <w:sz w:val="24"/>
          <w:szCs w:val="24"/>
          <w:lang w:val="en-US" w:eastAsia="ru-RU"/>
        </w:rPr>
        <w:t xml:space="preserve">Deep </w:t>
      </w:r>
      <w:r>
        <w:rPr>
          <w:b/>
          <w:bCs/>
          <w:sz w:val="24"/>
          <w:szCs w:val="24"/>
          <w:lang w:val="en-US" w:eastAsia="ru-RU"/>
        </w:rPr>
        <w:t>d</w:t>
      </w:r>
      <w:r w:rsidRPr="00350960">
        <w:rPr>
          <w:b/>
          <w:bCs/>
          <w:sz w:val="24"/>
          <w:szCs w:val="24"/>
          <w:lang w:val="en-US" w:eastAsia="ru-RU"/>
        </w:rPr>
        <w:t>ecarbonization</w:t>
      </w:r>
      <w:r w:rsidRPr="00350960">
        <w:rPr>
          <w:sz w:val="24"/>
          <w:szCs w:val="24"/>
          <w:lang w:val="en-US" w:eastAsia="ru-RU"/>
        </w:rPr>
        <w:t xml:space="preserve"> – An ambitious plan to achieve carbon neutrality in the shortest possible time. It is a conditional target and can be implemented under additional conditions.</w:t>
      </w:r>
    </w:p>
    <w:p w14:paraId="22EEA02F" w14:textId="77777777" w:rsidR="00350960" w:rsidRPr="00350960" w:rsidRDefault="00350960" w:rsidP="00350960">
      <w:pPr>
        <w:spacing w:after="0" w:line="240" w:lineRule="auto"/>
        <w:rPr>
          <w:sz w:val="24"/>
          <w:szCs w:val="24"/>
          <w:lang w:val="en-US" w:eastAsia="ru-RU"/>
        </w:rPr>
      </w:pPr>
      <w:r w:rsidRPr="00350960">
        <w:rPr>
          <w:sz w:val="24"/>
          <w:szCs w:val="24"/>
          <w:lang w:val="en-US" w:eastAsia="ru-RU"/>
        </w:rPr>
        <w:t>Considering Kazakhstan’s climate policy, global trends, and its own goals, the Company sets the following objectives in the decarbonization scenario:</w:t>
      </w:r>
    </w:p>
    <w:p w14:paraId="3783F687" w14:textId="77777777" w:rsidR="00350960" w:rsidRPr="00350960" w:rsidRDefault="00350960" w:rsidP="00625A42">
      <w:pPr>
        <w:numPr>
          <w:ilvl w:val="0"/>
          <w:numId w:val="22"/>
        </w:numPr>
        <w:spacing w:after="0" w:line="240" w:lineRule="auto"/>
        <w:rPr>
          <w:sz w:val="24"/>
          <w:szCs w:val="24"/>
          <w:lang w:val="en-US" w:eastAsia="ru-RU"/>
        </w:rPr>
      </w:pPr>
      <w:r w:rsidRPr="00350960">
        <w:rPr>
          <w:sz w:val="24"/>
          <w:szCs w:val="24"/>
          <w:lang w:val="en-US" w:eastAsia="ru-RU"/>
        </w:rPr>
        <w:t>Achieving carbon neutrality by 2060 (primary objective);</w:t>
      </w:r>
    </w:p>
    <w:p w14:paraId="5C956F82" w14:textId="77777777" w:rsidR="00350960" w:rsidRPr="00350960" w:rsidRDefault="00350960" w:rsidP="00625A42">
      <w:pPr>
        <w:numPr>
          <w:ilvl w:val="0"/>
          <w:numId w:val="22"/>
        </w:numPr>
        <w:spacing w:after="0" w:line="240" w:lineRule="auto"/>
        <w:rPr>
          <w:sz w:val="24"/>
          <w:szCs w:val="24"/>
          <w:lang w:val="en-US" w:eastAsia="ru-RU"/>
        </w:rPr>
      </w:pPr>
      <w:r w:rsidRPr="00350960">
        <w:rPr>
          <w:sz w:val="24"/>
          <w:szCs w:val="24"/>
          <w:lang w:val="en-US" w:eastAsia="ru-RU"/>
        </w:rPr>
        <w:t>Reducing specific greenhouse gas emissions from the Company’s activities by ≥40% by 2030, ≥45% by 2040, ≥70% by 2050, and ≥95% by 2060 relative to the baseline year (monitoring objective).</w:t>
      </w:r>
    </w:p>
    <w:p w14:paraId="6BE3BF97" w14:textId="77777777" w:rsidR="00350960" w:rsidRPr="00350960" w:rsidRDefault="00350960" w:rsidP="00350960">
      <w:pPr>
        <w:spacing w:after="0" w:line="240" w:lineRule="auto"/>
        <w:rPr>
          <w:sz w:val="24"/>
          <w:szCs w:val="24"/>
          <w:lang w:val="en-US" w:eastAsia="ru-RU"/>
        </w:rPr>
      </w:pPr>
      <w:r w:rsidRPr="00350960">
        <w:rPr>
          <w:sz w:val="24"/>
          <w:szCs w:val="24"/>
          <w:lang w:val="en-US" w:eastAsia="ru-RU"/>
        </w:rPr>
        <w:t>Given the uncertainties of global and local decarbonization processes, the Company adopts the ambitious deep decarbonization scenario with the following target indicators:</w:t>
      </w:r>
    </w:p>
    <w:p w14:paraId="1B39FD3E" w14:textId="77777777" w:rsidR="00350960" w:rsidRPr="00350960" w:rsidRDefault="00350960" w:rsidP="00625A42">
      <w:pPr>
        <w:numPr>
          <w:ilvl w:val="0"/>
          <w:numId w:val="23"/>
        </w:numPr>
        <w:spacing w:after="0" w:line="240" w:lineRule="auto"/>
        <w:rPr>
          <w:sz w:val="24"/>
          <w:szCs w:val="24"/>
          <w:lang w:val="en-US" w:eastAsia="ru-RU"/>
        </w:rPr>
      </w:pPr>
      <w:r w:rsidRPr="00350960">
        <w:rPr>
          <w:sz w:val="24"/>
          <w:szCs w:val="24"/>
          <w:lang w:val="en-US" w:eastAsia="ru-RU"/>
        </w:rPr>
        <w:t>Achieving carbon neutrality by 2050 (primary objective);</w:t>
      </w:r>
    </w:p>
    <w:p w14:paraId="1AB4F0E4" w14:textId="77777777" w:rsidR="00350960" w:rsidRPr="00350960" w:rsidRDefault="00350960" w:rsidP="00625A42">
      <w:pPr>
        <w:numPr>
          <w:ilvl w:val="0"/>
          <w:numId w:val="23"/>
        </w:numPr>
        <w:spacing w:after="0" w:line="240" w:lineRule="auto"/>
        <w:rPr>
          <w:sz w:val="24"/>
          <w:szCs w:val="24"/>
          <w:lang w:val="en-US" w:eastAsia="ru-RU"/>
        </w:rPr>
      </w:pPr>
      <w:r w:rsidRPr="00350960">
        <w:rPr>
          <w:sz w:val="24"/>
          <w:szCs w:val="24"/>
          <w:lang w:val="en-US" w:eastAsia="ru-RU"/>
        </w:rPr>
        <w:t>Reducing specific greenhouse gas emissions from the Company’s activities by ≥40% by 2030, ≥45% by 2040, ≥80% by 2050, and ≥100% by 2060 relative to the baseline year (monitoring objective).</w:t>
      </w:r>
    </w:p>
    <w:p w14:paraId="2A8A2B9A" w14:textId="77777777" w:rsidR="00350960" w:rsidRPr="00350960" w:rsidRDefault="00350960" w:rsidP="00350960">
      <w:pPr>
        <w:spacing w:after="0" w:line="240" w:lineRule="auto"/>
        <w:rPr>
          <w:sz w:val="24"/>
          <w:szCs w:val="24"/>
          <w:lang w:val="en-US" w:eastAsia="ru-RU"/>
        </w:rPr>
      </w:pPr>
      <w:r w:rsidRPr="00350960">
        <w:rPr>
          <w:sz w:val="24"/>
          <w:szCs w:val="24"/>
          <w:lang w:val="en-US" w:eastAsia="ru-RU"/>
        </w:rPr>
        <w:t>The summary dynamics for greenhouse gas reduction across the three scenarios are presented in Graph 6.</w:t>
      </w:r>
    </w:p>
    <w:p w14:paraId="1B8D8DA5" w14:textId="17018FC1" w:rsidR="00F729B9" w:rsidRPr="00350960" w:rsidRDefault="00F729B9" w:rsidP="00350960">
      <w:pPr>
        <w:pStyle w:val="ab"/>
        <w:tabs>
          <w:tab w:val="left" w:pos="993"/>
        </w:tabs>
        <w:ind w:left="0" w:firstLine="426"/>
        <w:jc w:val="center"/>
        <w:rPr>
          <w:sz w:val="22"/>
          <w:szCs w:val="22"/>
          <w:lang w:val="en-US"/>
        </w:rPr>
      </w:pPr>
    </w:p>
    <w:p w14:paraId="4AA4D922" w14:textId="0C895892" w:rsidR="005D1FA5" w:rsidRDefault="008520F9" w:rsidP="009E60F1">
      <w:pPr>
        <w:pStyle w:val="ab"/>
        <w:tabs>
          <w:tab w:val="left" w:pos="993"/>
        </w:tabs>
        <w:ind w:left="0" w:firstLine="426"/>
        <w:jc w:val="center"/>
        <w:rPr>
          <w:sz w:val="22"/>
          <w:szCs w:val="22"/>
        </w:rPr>
      </w:pPr>
      <w:r>
        <w:rPr>
          <w:noProof/>
        </w:rPr>
        <w:drawing>
          <wp:inline distT="0" distB="0" distL="0" distR="0" wp14:anchorId="0C178135" wp14:editId="2E0AC467">
            <wp:extent cx="4572000" cy="1288111"/>
            <wp:effectExtent l="0" t="0" r="0" b="762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7FC511" w14:textId="3795CC07" w:rsidR="001630D8" w:rsidRPr="00350960" w:rsidRDefault="00350960" w:rsidP="009E60F1">
      <w:pPr>
        <w:pStyle w:val="ab"/>
        <w:tabs>
          <w:tab w:val="left" w:pos="993"/>
        </w:tabs>
        <w:ind w:left="0" w:firstLine="426"/>
        <w:jc w:val="center"/>
        <w:rPr>
          <w:sz w:val="20"/>
          <w:lang w:val="en-US"/>
        </w:rPr>
      </w:pPr>
      <w:proofErr w:type="spellStart"/>
      <w:r w:rsidRPr="00350960">
        <w:rPr>
          <w:sz w:val="20"/>
          <w:lang w:val="en-US"/>
        </w:rPr>
        <w:t>Note:Grey</w:t>
      </w:r>
      <w:proofErr w:type="spellEnd"/>
      <w:r w:rsidRPr="00350960">
        <w:rPr>
          <w:sz w:val="20"/>
          <w:lang w:val="en-US"/>
        </w:rPr>
        <w:t xml:space="preserve"> line – BAU, orange line- Decarbonization, green line – deep decarbonization</w:t>
      </w:r>
    </w:p>
    <w:p w14:paraId="2F5BBCF0" w14:textId="3CBD6E52" w:rsidR="00350960" w:rsidRPr="00350960" w:rsidRDefault="00350960" w:rsidP="00350960">
      <w:pPr>
        <w:pStyle w:val="a3"/>
        <w:rPr>
          <w:b/>
          <w:bCs/>
          <w:lang w:val="en-US"/>
        </w:rPr>
      </w:pPr>
      <w:r w:rsidRPr="00350960">
        <w:rPr>
          <w:rStyle w:val="af5"/>
          <w:b w:val="0"/>
          <w:bCs w:val="0"/>
          <w:lang w:val="en-US"/>
        </w:rPr>
        <w:t xml:space="preserve">Graph 6. Dynamics of </w:t>
      </w:r>
      <w:proofErr w:type="spellStart"/>
      <w:r w:rsidRPr="00350960">
        <w:rPr>
          <w:rStyle w:val="af5"/>
          <w:b w:val="0"/>
          <w:bCs w:val="0"/>
          <w:lang w:val="en-US"/>
        </w:rPr>
        <w:t>geenhouse</w:t>
      </w:r>
      <w:proofErr w:type="spellEnd"/>
      <w:r w:rsidRPr="00350960">
        <w:rPr>
          <w:rStyle w:val="af5"/>
          <w:b w:val="0"/>
          <w:bCs w:val="0"/>
          <w:lang w:val="en-US"/>
        </w:rPr>
        <w:t xml:space="preserve"> gas (GHG) reduction (in absolute terms, million tons) across three scenarios.</w:t>
      </w:r>
    </w:p>
    <w:p w14:paraId="073F632C" w14:textId="77777777" w:rsidR="00F729B9" w:rsidRPr="00350960" w:rsidRDefault="00F729B9" w:rsidP="009E60F1">
      <w:pPr>
        <w:pStyle w:val="ab"/>
        <w:tabs>
          <w:tab w:val="left" w:pos="993"/>
        </w:tabs>
        <w:ind w:left="0" w:firstLine="426"/>
        <w:rPr>
          <w:sz w:val="22"/>
          <w:szCs w:val="22"/>
          <w:lang w:val="en-US"/>
        </w:rPr>
      </w:pPr>
    </w:p>
    <w:p w14:paraId="4CE87037" w14:textId="3C76202C" w:rsidR="00350960" w:rsidRPr="00350960" w:rsidRDefault="00350960" w:rsidP="00350960">
      <w:pPr>
        <w:spacing w:after="0" w:line="240" w:lineRule="auto"/>
        <w:jc w:val="both"/>
        <w:rPr>
          <w:i/>
          <w:iCs/>
          <w:sz w:val="24"/>
          <w:szCs w:val="24"/>
          <w:lang w:val="en-US" w:eastAsia="ru-RU"/>
        </w:rPr>
      </w:pPr>
      <w:r w:rsidRPr="00350960">
        <w:rPr>
          <w:i/>
          <w:iCs/>
          <w:sz w:val="24"/>
          <w:szCs w:val="24"/>
          <w:lang w:val="en-US" w:eastAsia="ru-RU"/>
        </w:rPr>
        <w:t xml:space="preserve">Selection of the </w:t>
      </w:r>
      <w:r>
        <w:rPr>
          <w:i/>
          <w:iCs/>
          <w:sz w:val="24"/>
          <w:szCs w:val="24"/>
          <w:lang w:val="en-US" w:eastAsia="ru-RU"/>
        </w:rPr>
        <w:t>ba</w:t>
      </w:r>
      <w:r w:rsidRPr="00350960">
        <w:rPr>
          <w:i/>
          <w:iCs/>
          <w:sz w:val="24"/>
          <w:szCs w:val="24"/>
          <w:lang w:val="en-US" w:eastAsia="ru-RU"/>
        </w:rPr>
        <w:t xml:space="preserve">se </w:t>
      </w:r>
      <w:r>
        <w:rPr>
          <w:i/>
          <w:iCs/>
          <w:sz w:val="24"/>
          <w:szCs w:val="24"/>
          <w:lang w:val="en-US" w:eastAsia="ru-RU"/>
        </w:rPr>
        <w:t>y</w:t>
      </w:r>
      <w:r w:rsidRPr="00350960">
        <w:rPr>
          <w:i/>
          <w:iCs/>
          <w:sz w:val="24"/>
          <w:szCs w:val="24"/>
          <w:lang w:val="en-US" w:eastAsia="ru-RU"/>
        </w:rPr>
        <w:t xml:space="preserve">ear and </w:t>
      </w:r>
      <w:r>
        <w:rPr>
          <w:i/>
          <w:iCs/>
          <w:sz w:val="24"/>
          <w:szCs w:val="24"/>
          <w:lang w:val="en-US" w:eastAsia="ru-RU"/>
        </w:rPr>
        <w:t>c</w:t>
      </w:r>
      <w:r w:rsidRPr="00350960">
        <w:rPr>
          <w:i/>
          <w:iCs/>
          <w:sz w:val="24"/>
          <w:szCs w:val="24"/>
          <w:lang w:val="en-US" w:eastAsia="ru-RU"/>
        </w:rPr>
        <w:t xml:space="preserve">alculation </w:t>
      </w:r>
      <w:r>
        <w:rPr>
          <w:i/>
          <w:iCs/>
          <w:sz w:val="24"/>
          <w:szCs w:val="24"/>
          <w:lang w:val="en-US" w:eastAsia="ru-RU"/>
        </w:rPr>
        <w:t>m</w:t>
      </w:r>
      <w:r w:rsidRPr="00350960">
        <w:rPr>
          <w:i/>
          <w:iCs/>
          <w:sz w:val="24"/>
          <w:szCs w:val="24"/>
          <w:lang w:val="en-US" w:eastAsia="ru-RU"/>
        </w:rPr>
        <w:t>ethodology</w:t>
      </w:r>
    </w:p>
    <w:p w14:paraId="0C25CF51" w14:textId="3CFCA1CC" w:rsidR="00350960" w:rsidRPr="00350960" w:rsidRDefault="00350960" w:rsidP="00350960">
      <w:pPr>
        <w:spacing w:after="0" w:line="240" w:lineRule="auto"/>
        <w:jc w:val="both"/>
        <w:rPr>
          <w:sz w:val="24"/>
          <w:szCs w:val="24"/>
          <w:lang w:val="en-US" w:eastAsia="ru-RU"/>
        </w:rPr>
      </w:pPr>
      <w:r w:rsidRPr="00350960">
        <w:rPr>
          <w:sz w:val="24"/>
          <w:szCs w:val="24"/>
          <w:lang w:val="en-US" w:eastAsia="ru-RU"/>
        </w:rPr>
        <w:t xml:space="preserve">In compliance with the protocol </w:t>
      </w:r>
      <w:r>
        <w:rPr>
          <w:sz w:val="24"/>
          <w:szCs w:val="24"/>
          <w:lang w:val="en-US" w:eastAsia="ru-RU"/>
        </w:rPr>
        <w:t>instructions</w:t>
      </w:r>
      <w:r w:rsidRPr="00350960">
        <w:rPr>
          <w:sz w:val="24"/>
          <w:szCs w:val="24"/>
          <w:lang w:val="en-US" w:eastAsia="ru-RU"/>
        </w:rPr>
        <w:t xml:space="preserve"> of </w:t>
      </w:r>
      <w:r>
        <w:rPr>
          <w:sz w:val="24"/>
          <w:szCs w:val="24"/>
          <w:lang w:val="en-US" w:eastAsia="ru-RU"/>
        </w:rPr>
        <w:t>“</w:t>
      </w:r>
      <w:r w:rsidRPr="00350960">
        <w:rPr>
          <w:sz w:val="24"/>
          <w:szCs w:val="24"/>
          <w:lang w:val="en-US" w:eastAsia="ru-RU"/>
        </w:rPr>
        <w:t>Samruk-</w:t>
      </w:r>
      <w:proofErr w:type="spellStart"/>
      <w:r w:rsidRPr="00350960">
        <w:rPr>
          <w:sz w:val="24"/>
          <w:szCs w:val="24"/>
          <w:lang w:val="en-US" w:eastAsia="ru-RU"/>
        </w:rPr>
        <w:t>Kazyna</w:t>
      </w:r>
      <w:proofErr w:type="spellEnd"/>
      <w:r>
        <w:rPr>
          <w:sz w:val="24"/>
          <w:szCs w:val="24"/>
          <w:lang w:val="en-US" w:eastAsia="ru-RU"/>
        </w:rPr>
        <w:t>”</w:t>
      </w:r>
      <w:r w:rsidRPr="00350960">
        <w:rPr>
          <w:sz w:val="24"/>
          <w:szCs w:val="24"/>
          <w:lang w:val="en-US" w:eastAsia="ru-RU"/>
        </w:rPr>
        <w:t xml:space="preserve"> JSC dated May 24, 2021, No. 47-r, and April 20, 2021, No. 32-r, titled "Devel</w:t>
      </w:r>
      <w:r>
        <w:rPr>
          <w:sz w:val="24"/>
          <w:szCs w:val="24"/>
          <w:lang w:val="en-US" w:eastAsia="ru-RU"/>
        </w:rPr>
        <w:t xml:space="preserve">op </w:t>
      </w:r>
      <w:r w:rsidRPr="00350960">
        <w:rPr>
          <w:sz w:val="24"/>
          <w:szCs w:val="24"/>
          <w:lang w:val="en-US" w:eastAsia="ru-RU"/>
        </w:rPr>
        <w:t xml:space="preserve">the </w:t>
      </w:r>
      <w:r>
        <w:rPr>
          <w:sz w:val="24"/>
          <w:szCs w:val="24"/>
          <w:lang w:val="en-US" w:eastAsia="ru-RU"/>
        </w:rPr>
        <w:t>e</w:t>
      </w:r>
      <w:r w:rsidRPr="00350960">
        <w:rPr>
          <w:sz w:val="24"/>
          <w:szCs w:val="24"/>
          <w:lang w:val="en-US" w:eastAsia="ru-RU"/>
        </w:rPr>
        <w:t xml:space="preserve">nergy </w:t>
      </w:r>
      <w:r>
        <w:rPr>
          <w:sz w:val="24"/>
          <w:szCs w:val="24"/>
          <w:lang w:val="en-US" w:eastAsia="ru-RU"/>
        </w:rPr>
        <w:t>t</w:t>
      </w:r>
      <w:r w:rsidRPr="00350960">
        <w:rPr>
          <w:sz w:val="24"/>
          <w:szCs w:val="24"/>
          <w:lang w:val="en-US" w:eastAsia="ru-RU"/>
        </w:rPr>
        <w:t xml:space="preserve">ransition </w:t>
      </w:r>
      <w:r>
        <w:rPr>
          <w:sz w:val="24"/>
          <w:szCs w:val="24"/>
          <w:lang w:val="en-US" w:eastAsia="ru-RU"/>
        </w:rPr>
        <w:t>p</w:t>
      </w:r>
      <w:r w:rsidRPr="00350960">
        <w:rPr>
          <w:sz w:val="24"/>
          <w:szCs w:val="24"/>
          <w:lang w:val="en-US" w:eastAsia="ru-RU"/>
        </w:rPr>
        <w:t xml:space="preserve">lan within </w:t>
      </w:r>
      <w:r>
        <w:rPr>
          <w:sz w:val="24"/>
          <w:szCs w:val="24"/>
          <w:lang w:val="en-US" w:eastAsia="ru-RU"/>
        </w:rPr>
        <w:t>s</w:t>
      </w:r>
      <w:r w:rsidRPr="00350960">
        <w:rPr>
          <w:sz w:val="24"/>
          <w:szCs w:val="24"/>
          <w:lang w:val="en-US" w:eastAsia="ru-RU"/>
        </w:rPr>
        <w:t xml:space="preserve">trategic </w:t>
      </w:r>
      <w:r>
        <w:rPr>
          <w:sz w:val="24"/>
          <w:szCs w:val="24"/>
          <w:lang w:val="en-US" w:eastAsia="ru-RU"/>
        </w:rPr>
        <w:t>p</w:t>
      </w:r>
      <w:r w:rsidRPr="00350960">
        <w:rPr>
          <w:sz w:val="24"/>
          <w:szCs w:val="24"/>
          <w:lang w:val="en-US" w:eastAsia="ru-RU"/>
        </w:rPr>
        <w:t xml:space="preserve">lanning" and considering the tightening of the Environmental Code of the Republic of Kazakhstan in 2021, </w:t>
      </w:r>
      <w:r w:rsidRPr="00350960">
        <w:rPr>
          <w:b/>
          <w:bCs/>
          <w:sz w:val="24"/>
          <w:szCs w:val="24"/>
          <w:lang w:val="en-US" w:eastAsia="ru-RU"/>
        </w:rPr>
        <w:t>the base year for Scope 1 is set as 2021.</w:t>
      </w:r>
      <w:r w:rsidRPr="00350960">
        <w:rPr>
          <w:sz w:val="24"/>
          <w:szCs w:val="24"/>
          <w:lang w:val="en-US" w:eastAsia="ru-RU"/>
        </w:rPr>
        <w:t xml:space="preserve"> Additionally, the base year (2021) is established in accordance with the approved Concept of Low-Carbon Development of </w:t>
      </w:r>
      <w:r>
        <w:rPr>
          <w:sz w:val="24"/>
          <w:szCs w:val="24"/>
          <w:lang w:val="en-US" w:eastAsia="ru-RU"/>
        </w:rPr>
        <w:t>“</w:t>
      </w:r>
      <w:r w:rsidRPr="00350960">
        <w:rPr>
          <w:sz w:val="24"/>
          <w:szCs w:val="24"/>
          <w:lang w:val="en-US" w:eastAsia="ru-RU"/>
        </w:rPr>
        <w:t>Samruk-</w:t>
      </w:r>
      <w:proofErr w:type="spellStart"/>
      <w:r w:rsidRPr="00350960">
        <w:rPr>
          <w:sz w:val="24"/>
          <w:szCs w:val="24"/>
          <w:lang w:val="en-US" w:eastAsia="ru-RU"/>
        </w:rPr>
        <w:t>Kazyna</w:t>
      </w:r>
      <w:proofErr w:type="spellEnd"/>
      <w:r>
        <w:rPr>
          <w:sz w:val="24"/>
          <w:szCs w:val="24"/>
          <w:lang w:val="en-US" w:eastAsia="ru-RU"/>
        </w:rPr>
        <w:t>”</w:t>
      </w:r>
      <w:r w:rsidRPr="00350960">
        <w:rPr>
          <w:sz w:val="24"/>
          <w:szCs w:val="24"/>
          <w:lang w:val="en-US" w:eastAsia="ru-RU"/>
        </w:rPr>
        <w:t xml:space="preserve"> JSC until 2060 (Section 3, "Goals of </w:t>
      </w:r>
      <w:r>
        <w:rPr>
          <w:sz w:val="24"/>
          <w:szCs w:val="24"/>
          <w:lang w:val="en-US" w:eastAsia="ru-RU"/>
        </w:rPr>
        <w:t>l</w:t>
      </w:r>
      <w:r w:rsidRPr="00350960">
        <w:rPr>
          <w:sz w:val="24"/>
          <w:szCs w:val="24"/>
          <w:lang w:val="en-US" w:eastAsia="ru-RU"/>
        </w:rPr>
        <w:t>ow-</w:t>
      </w:r>
      <w:r>
        <w:rPr>
          <w:sz w:val="24"/>
          <w:szCs w:val="24"/>
          <w:lang w:val="en-US" w:eastAsia="ru-RU"/>
        </w:rPr>
        <w:t>c</w:t>
      </w:r>
      <w:r w:rsidRPr="00350960">
        <w:rPr>
          <w:sz w:val="24"/>
          <w:szCs w:val="24"/>
          <w:lang w:val="en-US" w:eastAsia="ru-RU"/>
        </w:rPr>
        <w:t xml:space="preserve">arbon </w:t>
      </w:r>
      <w:r>
        <w:rPr>
          <w:sz w:val="24"/>
          <w:szCs w:val="24"/>
          <w:lang w:val="en-US" w:eastAsia="ru-RU"/>
        </w:rPr>
        <w:t>d</w:t>
      </w:r>
      <w:r w:rsidRPr="00350960">
        <w:rPr>
          <w:sz w:val="24"/>
          <w:szCs w:val="24"/>
          <w:lang w:val="en-US" w:eastAsia="ru-RU"/>
        </w:rPr>
        <w:t xml:space="preserve">evelopment" of </w:t>
      </w:r>
      <w:r>
        <w:rPr>
          <w:sz w:val="24"/>
          <w:szCs w:val="24"/>
          <w:lang w:val="en-US" w:eastAsia="ru-RU"/>
        </w:rPr>
        <w:t>CLCD</w:t>
      </w:r>
      <w:r w:rsidRPr="00350960">
        <w:rPr>
          <w:sz w:val="24"/>
          <w:szCs w:val="24"/>
          <w:lang w:val="en-US" w:eastAsia="ru-RU"/>
        </w:rPr>
        <w:t xml:space="preserve"> ). For the analysis and assessment of the boundaries of Scope 2, the base year for Scope 2 coverage is set as 2022.</w:t>
      </w:r>
    </w:p>
    <w:p w14:paraId="218F0808" w14:textId="77777777" w:rsidR="00350960" w:rsidRPr="00350960" w:rsidRDefault="00350960" w:rsidP="00350960">
      <w:pPr>
        <w:spacing w:after="0" w:line="240" w:lineRule="auto"/>
        <w:jc w:val="both"/>
        <w:rPr>
          <w:sz w:val="24"/>
          <w:szCs w:val="24"/>
          <w:lang w:val="en-US" w:eastAsia="ru-RU"/>
        </w:rPr>
      </w:pPr>
      <w:r w:rsidRPr="00350960">
        <w:rPr>
          <w:sz w:val="24"/>
          <w:szCs w:val="24"/>
          <w:lang w:val="en-US" w:eastAsia="ru-RU"/>
        </w:rPr>
        <w:t>The following are used for the calculation of greenhouse gas (GHG) emissions, as well as for the scenario analysis of future emissions:</w:t>
      </w:r>
    </w:p>
    <w:p w14:paraId="0733D7D4" w14:textId="62AFC2BE" w:rsidR="00350960" w:rsidRPr="00350960" w:rsidRDefault="00350960" w:rsidP="00625A42">
      <w:pPr>
        <w:pStyle w:val="ab"/>
        <w:numPr>
          <w:ilvl w:val="0"/>
          <w:numId w:val="24"/>
        </w:numPr>
        <w:rPr>
          <w:szCs w:val="24"/>
          <w:lang w:val="en-US"/>
        </w:rPr>
      </w:pPr>
      <w:r w:rsidRPr="00350960">
        <w:rPr>
          <w:szCs w:val="24"/>
          <w:lang w:val="en-US"/>
        </w:rPr>
        <w:t>The approved methodology for the calculation of GHG emissions and absorption, Order No. 9 of the Minister of Ecology and Natural Resources of the Republic of Kazakhstan dated January 17, 2023.</w:t>
      </w:r>
    </w:p>
    <w:p w14:paraId="6AEB86FA" w14:textId="2BF333DD" w:rsidR="00350960" w:rsidRPr="00350960" w:rsidRDefault="00350960" w:rsidP="00625A42">
      <w:pPr>
        <w:numPr>
          <w:ilvl w:val="0"/>
          <w:numId w:val="24"/>
        </w:numPr>
        <w:spacing w:after="0" w:line="240" w:lineRule="auto"/>
        <w:jc w:val="both"/>
        <w:rPr>
          <w:sz w:val="24"/>
          <w:szCs w:val="24"/>
          <w:lang w:val="en-US" w:eastAsia="ru-RU"/>
        </w:rPr>
      </w:pPr>
      <w:r w:rsidRPr="00350960">
        <w:rPr>
          <w:sz w:val="24"/>
          <w:szCs w:val="24"/>
          <w:lang w:val="en-US" w:eastAsia="ru-RU"/>
        </w:rPr>
        <w:t xml:space="preserve">The approved Order No. 260 of the Acting Minister of Ecology, Geology, and Natural Resources of the Republic of Kazakhstan, dated July 19, 2021, "List of </w:t>
      </w:r>
      <w:r>
        <w:rPr>
          <w:sz w:val="24"/>
          <w:szCs w:val="24"/>
          <w:lang w:val="en-US" w:eastAsia="ru-RU"/>
        </w:rPr>
        <w:t>b</w:t>
      </w:r>
      <w:r w:rsidRPr="00350960">
        <w:rPr>
          <w:sz w:val="24"/>
          <w:szCs w:val="24"/>
          <w:lang w:val="en-US" w:eastAsia="ru-RU"/>
        </w:rPr>
        <w:t xml:space="preserve">enchmarks in </w:t>
      </w:r>
      <w:r>
        <w:rPr>
          <w:sz w:val="24"/>
          <w:szCs w:val="24"/>
          <w:lang w:val="en-US" w:eastAsia="ru-RU"/>
        </w:rPr>
        <w:t>r</w:t>
      </w:r>
      <w:r w:rsidRPr="00350960">
        <w:rPr>
          <w:sz w:val="24"/>
          <w:szCs w:val="24"/>
          <w:lang w:val="en-US" w:eastAsia="ru-RU"/>
        </w:rPr>
        <w:t xml:space="preserve">egulated </w:t>
      </w:r>
      <w:r>
        <w:rPr>
          <w:sz w:val="24"/>
          <w:szCs w:val="24"/>
          <w:lang w:val="en-US" w:eastAsia="ru-RU"/>
        </w:rPr>
        <w:t>s</w:t>
      </w:r>
      <w:r w:rsidRPr="00350960">
        <w:rPr>
          <w:sz w:val="24"/>
          <w:szCs w:val="24"/>
          <w:lang w:val="en-US" w:eastAsia="ru-RU"/>
        </w:rPr>
        <w:t xml:space="preserve">ectors of the </w:t>
      </w:r>
      <w:r>
        <w:rPr>
          <w:sz w:val="24"/>
          <w:szCs w:val="24"/>
          <w:lang w:val="en-US" w:eastAsia="ru-RU"/>
        </w:rPr>
        <w:t>e</w:t>
      </w:r>
      <w:r w:rsidRPr="00350960">
        <w:rPr>
          <w:sz w:val="24"/>
          <w:szCs w:val="24"/>
          <w:lang w:val="en-US" w:eastAsia="ru-RU"/>
        </w:rPr>
        <w:t>conomy."</w:t>
      </w:r>
    </w:p>
    <w:p w14:paraId="68A6100A" w14:textId="64C0C358" w:rsidR="00350960" w:rsidRPr="00350960" w:rsidRDefault="00350960" w:rsidP="00625A42">
      <w:pPr>
        <w:numPr>
          <w:ilvl w:val="0"/>
          <w:numId w:val="24"/>
        </w:numPr>
        <w:spacing w:after="0" w:line="240" w:lineRule="auto"/>
        <w:jc w:val="both"/>
        <w:rPr>
          <w:sz w:val="24"/>
          <w:szCs w:val="24"/>
          <w:lang w:val="en-US" w:eastAsia="ru-RU"/>
        </w:rPr>
      </w:pPr>
      <w:r w:rsidRPr="00350960">
        <w:rPr>
          <w:sz w:val="24"/>
          <w:szCs w:val="24"/>
          <w:lang w:val="en-US" w:eastAsia="ru-RU"/>
        </w:rPr>
        <w:t xml:space="preserve">The approved internal guideline on GHG and offset </w:t>
      </w:r>
      <w:r w:rsidR="00096B80" w:rsidRPr="00350960">
        <w:rPr>
          <w:sz w:val="24"/>
          <w:szCs w:val="24"/>
          <w:lang w:val="en-US" w:eastAsia="ru-RU"/>
        </w:rPr>
        <w:t>units’</w:t>
      </w:r>
      <w:r w:rsidRPr="00350960">
        <w:rPr>
          <w:sz w:val="24"/>
          <w:szCs w:val="24"/>
          <w:lang w:val="en-US" w:eastAsia="ru-RU"/>
        </w:rPr>
        <w:t xml:space="preserve"> calculation for </w:t>
      </w:r>
      <w:r w:rsidR="00096B80">
        <w:rPr>
          <w:sz w:val="24"/>
          <w:szCs w:val="24"/>
          <w:lang w:val="en-US" w:eastAsia="ru-RU"/>
        </w:rPr>
        <w:t>“Samruk-Energy” JSC</w:t>
      </w:r>
      <w:r w:rsidRPr="00350960">
        <w:rPr>
          <w:sz w:val="24"/>
          <w:szCs w:val="24"/>
          <w:lang w:val="en-US" w:eastAsia="ru-RU"/>
        </w:rPr>
        <w:t xml:space="preserve"> Group of Companies, approved by the</w:t>
      </w:r>
      <w:r w:rsidR="00096B80">
        <w:rPr>
          <w:sz w:val="24"/>
          <w:szCs w:val="24"/>
          <w:lang w:val="en-US" w:eastAsia="ru-RU"/>
        </w:rPr>
        <w:t xml:space="preserve"> Company’s</w:t>
      </w:r>
      <w:r w:rsidRPr="00350960">
        <w:rPr>
          <w:sz w:val="24"/>
          <w:szCs w:val="24"/>
          <w:lang w:val="en-US" w:eastAsia="ru-RU"/>
        </w:rPr>
        <w:t xml:space="preserve"> Management Board </w:t>
      </w:r>
      <w:r w:rsidR="00096B80">
        <w:rPr>
          <w:sz w:val="24"/>
          <w:szCs w:val="24"/>
          <w:lang w:val="en-US" w:eastAsia="ru-RU"/>
        </w:rPr>
        <w:t>d</w:t>
      </w:r>
      <w:r w:rsidRPr="00350960">
        <w:rPr>
          <w:sz w:val="24"/>
          <w:szCs w:val="24"/>
          <w:lang w:val="en-US" w:eastAsia="ru-RU"/>
        </w:rPr>
        <w:t>ecision (</w:t>
      </w:r>
      <w:r w:rsidR="00096B80">
        <w:rPr>
          <w:sz w:val="24"/>
          <w:szCs w:val="24"/>
          <w:lang w:val="en-US" w:eastAsia="ru-RU"/>
        </w:rPr>
        <w:t>Minutes</w:t>
      </w:r>
      <w:r w:rsidRPr="00350960">
        <w:rPr>
          <w:sz w:val="24"/>
          <w:szCs w:val="24"/>
          <w:lang w:val="en-US" w:eastAsia="ru-RU"/>
        </w:rPr>
        <w:t xml:space="preserve"> No. 09, dated April 10, 2024).</w:t>
      </w:r>
    </w:p>
    <w:p w14:paraId="6B47AD3C" w14:textId="77777777" w:rsidR="001630D8" w:rsidRPr="00350960" w:rsidRDefault="001630D8" w:rsidP="001630D8">
      <w:pPr>
        <w:pStyle w:val="ab"/>
        <w:tabs>
          <w:tab w:val="left" w:pos="993"/>
        </w:tabs>
        <w:ind w:left="709"/>
        <w:rPr>
          <w:color w:val="000000"/>
          <w:szCs w:val="24"/>
          <w:lang w:val="en-US"/>
        </w:rPr>
      </w:pPr>
    </w:p>
    <w:p w14:paraId="37CDBB20" w14:textId="52909158" w:rsidR="00FB3FB7" w:rsidRPr="00085AF7" w:rsidRDefault="00085AF7" w:rsidP="00085AF7">
      <w:pPr>
        <w:pStyle w:val="ab"/>
        <w:numPr>
          <w:ilvl w:val="1"/>
          <w:numId w:val="44"/>
        </w:numPr>
        <w:outlineLvl w:val="0"/>
        <w:rPr>
          <w:b/>
          <w:szCs w:val="24"/>
        </w:rPr>
      </w:pPr>
      <w:r w:rsidRPr="00BC0393">
        <w:rPr>
          <w:b/>
          <w:szCs w:val="24"/>
          <w:lang w:val="en-US"/>
        </w:rPr>
        <w:t xml:space="preserve"> </w:t>
      </w:r>
      <w:bookmarkStart w:id="16" w:name="_Toc190447152"/>
      <w:proofErr w:type="spellStart"/>
      <w:r w:rsidR="00FB3FB7" w:rsidRPr="00085AF7">
        <w:rPr>
          <w:b/>
          <w:szCs w:val="24"/>
        </w:rPr>
        <w:t>Business</w:t>
      </w:r>
      <w:proofErr w:type="spellEnd"/>
      <w:r w:rsidR="00FB3FB7" w:rsidRPr="00085AF7">
        <w:rPr>
          <w:b/>
          <w:szCs w:val="24"/>
        </w:rPr>
        <w:t xml:space="preserve"> </w:t>
      </w:r>
      <w:proofErr w:type="spellStart"/>
      <w:r w:rsidR="00FB3FB7" w:rsidRPr="00085AF7">
        <w:rPr>
          <w:b/>
          <w:szCs w:val="24"/>
        </w:rPr>
        <w:t>as</w:t>
      </w:r>
      <w:proofErr w:type="spellEnd"/>
      <w:r w:rsidR="00FB3FB7" w:rsidRPr="00085AF7">
        <w:rPr>
          <w:b/>
          <w:szCs w:val="24"/>
        </w:rPr>
        <w:t xml:space="preserve"> </w:t>
      </w:r>
      <w:proofErr w:type="spellStart"/>
      <w:r w:rsidR="00FB3FB7" w:rsidRPr="00085AF7">
        <w:rPr>
          <w:b/>
          <w:szCs w:val="24"/>
        </w:rPr>
        <w:t>usual</w:t>
      </w:r>
      <w:proofErr w:type="spellEnd"/>
      <w:r w:rsidR="00096B80" w:rsidRPr="00085AF7">
        <w:rPr>
          <w:b/>
          <w:szCs w:val="24"/>
          <w:lang w:val="en-US"/>
        </w:rPr>
        <w:t xml:space="preserve"> scenario</w:t>
      </w:r>
      <w:bookmarkEnd w:id="16"/>
    </w:p>
    <w:p w14:paraId="6A909CDB" w14:textId="77777777" w:rsidR="001630D8" w:rsidRDefault="001630D8" w:rsidP="009E60F1">
      <w:pPr>
        <w:tabs>
          <w:tab w:val="left" w:pos="993"/>
        </w:tabs>
        <w:spacing w:after="0" w:line="240" w:lineRule="auto"/>
        <w:ind w:firstLine="567"/>
        <w:jc w:val="both"/>
        <w:rPr>
          <w:b/>
          <w:spacing w:val="-2"/>
          <w:sz w:val="24"/>
          <w:szCs w:val="24"/>
        </w:rPr>
      </w:pPr>
    </w:p>
    <w:p w14:paraId="567FEC2A" w14:textId="4282DCBF" w:rsidR="00096B80" w:rsidRPr="00096B80" w:rsidRDefault="00096B80" w:rsidP="00085AF7">
      <w:pPr>
        <w:spacing w:after="0" w:line="240" w:lineRule="auto"/>
        <w:ind w:firstLine="708"/>
        <w:jc w:val="both"/>
        <w:rPr>
          <w:sz w:val="24"/>
          <w:szCs w:val="24"/>
          <w:lang w:val="en-US" w:eastAsia="ru-RU"/>
        </w:rPr>
      </w:pPr>
      <w:r w:rsidRPr="00096B80">
        <w:rPr>
          <w:sz w:val="24"/>
          <w:szCs w:val="24"/>
          <w:lang w:val="en-US" w:eastAsia="ru-RU"/>
        </w:rPr>
        <w:t xml:space="preserve">The </w:t>
      </w:r>
      <w:r w:rsidR="00085AF7">
        <w:rPr>
          <w:b/>
          <w:sz w:val="24"/>
          <w:szCs w:val="24"/>
          <w:lang w:val="en-US" w:eastAsia="ru-RU"/>
        </w:rPr>
        <w:t>B</w:t>
      </w:r>
      <w:r w:rsidRPr="00085AF7">
        <w:rPr>
          <w:b/>
          <w:sz w:val="24"/>
          <w:szCs w:val="24"/>
          <w:lang w:val="en-US" w:eastAsia="ru-RU"/>
        </w:rPr>
        <w:t>aseline</w:t>
      </w:r>
      <w:r w:rsidRPr="00096B80">
        <w:rPr>
          <w:sz w:val="24"/>
          <w:szCs w:val="24"/>
          <w:lang w:val="en-US" w:eastAsia="ru-RU"/>
        </w:rPr>
        <w:t xml:space="preserve"> scenario, which assumes the absence of significant technological changes or political measures aimed at achieving carbon neutrality, is considered a reference for comparing the results of other scenarios. This scenario envisions the continued development of all types of generation (renewable energy, alternative energy, traditional generation) and extrapolates the historical trends observed in Kazakhstan into the future.</w:t>
      </w:r>
    </w:p>
    <w:p w14:paraId="4E5BE6B9" w14:textId="4DD65C98" w:rsidR="00096B80" w:rsidRPr="00096B80" w:rsidRDefault="00096B80" w:rsidP="00085AF7">
      <w:pPr>
        <w:spacing w:after="0" w:line="240" w:lineRule="auto"/>
        <w:ind w:firstLine="708"/>
        <w:jc w:val="both"/>
        <w:rPr>
          <w:sz w:val="24"/>
          <w:szCs w:val="24"/>
          <w:lang w:val="en-US" w:eastAsia="ru-RU"/>
        </w:rPr>
      </w:pPr>
      <w:r w:rsidRPr="00096B80">
        <w:rPr>
          <w:sz w:val="24"/>
          <w:szCs w:val="24"/>
          <w:lang w:val="en-US" w:eastAsia="ru-RU"/>
        </w:rPr>
        <w:t>This scenario is modeled based on the STEP (The Stated Policies Scenario) conditions, which allow the assessment of potential energy sector development trajectories under the assumption that existing and planned political measures are maintained without additional policy actions. The model does not assume that governments or companies will achieve all of their stated goals.</w:t>
      </w:r>
    </w:p>
    <w:p w14:paraId="36AF2A0A" w14:textId="77777777" w:rsidR="00096B80" w:rsidRPr="00096B80" w:rsidRDefault="00096B80" w:rsidP="00085AF7">
      <w:pPr>
        <w:spacing w:after="0" w:line="240" w:lineRule="auto"/>
        <w:ind w:firstLine="708"/>
        <w:jc w:val="both"/>
        <w:rPr>
          <w:sz w:val="24"/>
          <w:szCs w:val="24"/>
          <w:lang w:val="en-US" w:eastAsia="ru-RU"/>
        </w:rPr>
      </w:pPr>
      <w:r w:rsidRPr="00096B80">
        <w:rPr>
          <w:sz w:val="24"/>
          <w:szCs w:val="24"/>
          <w:lang w:val="en-US" w:eastAsia="ru-RU"/>
        </w:rPr>
        <w:t>This scenario is adopted as a comparison model and is not a target scenario. Carbon neutrality is not achieved. The net carbon footprint by 2060, compared to the baseline year (2021), is projected to be +25%.</w:t>
      </w:r>
    </w:p>
    <w:p w14:paraId="30486589" w14:textId="77777777" w:rsidR="001630D8" w:rsidRPr="00096B80" w:rsidRDefault="001630D8" w:rsidP="001630D8">
      <w:pPr>
        <w:tabs>
          <w:tab w:val="left" w:pos="993"/>
        </w:tabs>
        <w:spacing w:after="0" w:line="240" w:lineRule="auto"/>
        <w:ind w:firstLine="709"/>
        <w:jc w:val="both"/>
        <w:rPr>
          <w:sz w:val="24"/>
          <w:szCs w:val="24"/>
          <w:lang w:val="en-US"/>
        </w:rPr>
      </w:pPr>
    </w:p>
    <w:p w14:paraId="646C1873" w14:textId="56D14FAA" w:rsidR="00FB3FB7" w:rsidRPr="008A7600" w:rsidRDefault="008A7600" w:rsidP="008A7600">
      <w:pPr>
        <w:pStyle w:val="ab"/>
        <w:numPr>
          <w:ilvl w:val="1"/>
          <w:numId w:val="44"/>
        </w:numPr>
        <w:outlineLvl w:val="0"/>
        <w:rPr>
          <w:b/>
          <w:szCs w:val="24"/>
        </w:rPr>
      </w:pPr>
      <w:r w:rsidRPr="00BC0393">
        <w:rPr>
          <w:b/>
          <w:szCs w:val="24"/>
          <w:lang w:val="en-US"/>
        </w:rPr>
        <w:t xml:space="preserve"> </w:t>
      </w:r>
      <w:bookmarkStart w:id="17" w:name="_Toc190447153"/>
      <w:r w:rsidR="00096B80" w:rsidRPr="008A7600">
        <w:rPr>
          <w:b/>
          <w:szCs w:val="24"/>
          <w:lang w:val="en-US"/>
        </w:rPr>
        <w:t>Decarbonization scenario</w:t>
      </w:r>
      <w:bookmarkEnd w:id="17"/>
      <w:r w:rsidR="00096B80" w:rsidRPr="008A7600">
        <w:rPr>
          <w:b/>
          <w:szCs w:val="24"/>
          <w:lang w:val="en-US"/>
        </w:rPr>
        <w:t xml:space="preserve"> </w:t>
      </w:r>
    </w:p>
    <w:p w14:paraId="116C4DE4" w14:textId="08528A9A" w:rsidR="00096B80" w:rsidRDefault="00096B80" w:rsidP="00085AF7">
      <w:pPr>
        <w:spacing w:before="100" w:beforeAutospacing="1" w:after="100" w:afterAutospacing="1" w:line="240" w:lineRule="auto"/>
        <w:ind w:firstLine="708"/>
        <w:rPr>
          <w:sz w:val="24"/>
          <w:szCs w:val="24"/>
          <w:lang w:val="en-US" w:eastAsia="ru-RU"/>
        </w:rPr>
      </w:pPr>
      <w:r w:rsidRPr="00096B80">
        <w:rPr>
          <w:sz w:val="24"/>
          <w:szCs w:val="24"/>
          <w:lang w:val="en-US" w:eastAsia="ru-RU"/>
        </w:rPr>
        <w:t xml:space="preserve">The </w:t>
      </w:r>
      <w:r w:rsidRPr="00096B80">
        <w:rPr>
          <w:b/>
          <w:bCs/>
          <w:sz w:val="24"/>
          <w:szCs w:val="24"/>
          <w:lang w:val="en-US" w:eastAsia="ru-RU"/>
        </w:rPr>
        <w:t>Decarbonization</w:t>
      </w:r>
      <w:r w:rsidRPr="00096B80">
        <w:rPr>
          <w:sz w:val="24"/>
          <w:szCs w:val="24"/>
          <w:lang w:val="en-US" w:eastAsia="ru-RU"/>
        </w:rPr>
        <w:t xml:space="preserve"> </w:t>
      </w:r>
      <w:r>
        <w:rPr>
          <w:sz w:val="24"/>
          <w:szCs w:val="24"/>
          <w:lang w:val="en-US" w:eastAsia="ru-RU"/>
        </w:rPr>
        <w:t>s</w:t>
      </w:r>
      <w:r w:rsidRPr="00096B80">
        <w:rPr>
          <w:sz w:val="24"/>
          <w:szCs w:val="24"/>
          <w:lang w:val="en-US" w:eastAsia="ru-RU"/>
        </w:rPr>
        <w:t>cenario envisages a moderate reduction in greenhouse gas emissions. This scenario incorporates the conditions set out in the APS (The Announced Pledges Scenario), which outlines potential pathways for the development of the energy system through the adoption of advanced energy technologies. This approach enables the company to assess the maximum potential impact of the country’s existing climate commitments, understand how ambitious these pledges are, and determine whether they can help achieve global climate goals in the company’s operations. The scenario also identifies areas where intensified climate action is needed to meet more ambitious targets (the target indicators for this scenario are consolidated in Table 3).</w:t>
      </w:r>
    </w:p>
    <w:p w14:paraId="60B616B3" w14:textId="77777777" w:rsidR="00880769" w:rsidRDefault="00BC0393" w:rsidP="008A7600">
      <w:pPr>
        <w:spacing w:before="100" w:beforeAutospacing="1" w:after="100" w:afterAutospacing="1" w:line="240" w:lineRule="auto"/>
        <w:ind w:firstLine="708"/>
        <w:rPr>
          <w:sz w:val="24"/>
          <w:szCs w:val="24"/>
          <w:lang w:val="en-US" w:eastAsia="ru-RU"/>
        </w:rPr>
      </w:pPr>
      <w:r w:rsidRPr="00BC0393">
        <w:rPr>
          <w:sz w:val="24"/>
          <w:szCs w:val="24"/>
          <w:lang w:val="en-US" w:eastAsia="ru-RU"/>
        </w:rPr>
        <w:t>The Decarbonization scenario envisions the expansion of wind energy capacity and other alternative energy sources, the implementation of carbon capture, utilization, and storage (CCUS) technologies at coal-fired power plants, the execution of offset projects, and the gradual decommissioning of coal-based generation</w:t>
      </w:r>
      <w:r>
        <w:rPr>
          <w:sz w:val="24"/>
          <w:szCs w:val="24"/>
          <w:lang w:val="en-US" w:eastAsia="ru-RU"/>
        </w:rPr>
        <w:t xml:space="preserve">. </w:t>
      </w:r>
    </w:p>
    <w:p w14:paraId="42C0954A" w14:textId="4491BD4C" w:rsidR="00096B80" w:rsidRPr="00096B80" w:rsidRDefault="00096B80" w:rsidP="008A7600">
      <w:pPr>
        <w:spacing w:before="100" w:beforeAutospacing="1" w:after="100" w:afterAutospacing="1" w:line="240" w:lineRule="auto"/>
        <w:ind w:firstLine="708"/>
        <w:rPr>
          <w:sz w:val="24"/>
          <w:szCs w:val="24"/>
          <w:lang w:val="en-US" w:eastAsia="ru-RU"/>
        </w:rPr>
      </w:pPr>
      <w:r w:rsidRPr="00096B80">
        <w:rPr>
          <w:sz w:val="24"/>
          <w:szCs w:val="24"/>
          <w:lang w:val="en-US" w:eastAsia="ru-RU"/>
        </w:rPr>
        <w:t>The net carbon footprint by 2060, compared to the baseline year (2021), is projected to be -100%.</w:t>
      </w:r>
    </w:p>
    <w:p w14:paraId="712C0282" w14:textId="138BD2FE" w:rsidR="00096B80" w:rsidRPr="00096B80" w:rsidRDefault="00096B80" w:rsidP="00096B80">
      <w:pPr>
        <w:spacing w:before="100" w:beforeAutospacing="1" w:after="100" w:afterAutospacing="1" w:line="240" w:lineRule="auto"/>
        <w:rPr>
          <w:sz w:val="24"/>
          <w:szCs w:val="24"/>
          <w:lang w:val="en-US" w:eastAsia="ru-RU"/>
        </w:rPr>
      </w:pPr>
      <w:r w:rsidRPr="00096B80">
        <w:rPr>
          <w:sz w:val="24"/>
          <w:szCs w:val="24"/>
          <w:lang w:val="en-US" w:eastAsia="ru-RU"/>
        </w:rPr>
        <w:t xml:space="preserve">Table 3. Target </w:t>
      </w:r>
      <w:r>
        <w:rPr>
          <w:sz w:val="24"/>
          <w:szCs w:val="24"/>
          <w:lang w:val="en-US" w:eastAsia="ru-RU"/>
        </w:rPr>
        <w:t>i</w:t>
      </w:r>
      <w:r w:rsidRPr="00096B80">
        <w:rPr>
          <w:sz w:val="24"/>
          <w:szCs w:val="24"/>
          <w:lang w:val="en-US" w:eastAsia="ru-RU"/>
        </w:rPr>
        <w:t xml:space="preserve">ndicators for Program (under the Decarbonization </w:t>
      </w:r>
      <w:r>
        <w:rPr>
          <w:sz w:val="24"/>
          <w:szCs w:val="24"/>
          <w:lang w:val="en-US" w:eastAsia="ru-RU"/>
        </w:rPr>
        <w:t>s</w:t>
      </w:r>
      <w:r w:rsidRPr="00096B80">
        <w:rPr>
          <w:sz w:val="24"/>
          <w:szCs w:val="24"/>
          <w:lang w:val="en-US" w:eastAsia="ru-RU"/>
        </w:rPr>
        <w:t>cenario).</w:t>
      </w:r>
    </w:p>
    <w:tbl>
      <w:tblPr>
        <w:tblStyle w:val="aa"/>
        <w:tblW w:w="10060" w:type="dxa"/>
        <w:jc w:val="center"/>
        <w:tblLayout w:type="fixed"/>
        <w:tblLook w:val="04A0" w:firstRow="1" w:lastRow="0" w:firstColumn="1" w:lastColumn="0" w:noHBand="0" w:noVBand="1"/>
      </w:tblPr>
      <w:tblGrid>
        <w:gridCol w:w="498"/>
        <w:gridCol w:w="3041"/>
        <w:gridCol w:w="1276"/>
        <w:gridCol w:w="1134"/>
        <w:gridCol w:w="992"/>
        <w:gridCol w:w="992"/>
        <w:gridCol w:w="993"/>
        <w:gridCol w:w="1134"/>
      </w:tblGrid>
      <w:tr w:rsidR="00666B03" w:rsidRPr="00666B03" w14:paraId="1981FBA5" w14:textId="77777777" w:rsidTr="001630D8">
        <w:trPr>
          <w:jc w:val="center"/>
        </w:trPr>
        <w:tc>
          <w:tcPr>
            <w:tcW w:w="498" w:type="dxa"/>
            <w:vAlign w:val="center"/>
          </w:tcPr>
          <w:p w14:paraId="6054E67E" w14:textId="6580C386" w:rsidR="00666B03" w:rsidRPr="009F166E" w:rsidRDefault="009F166E" w:rsidP="009E60F1">
            <w:pPr>
              <w:spacing w:after="0" w:line="240" w:lineRule="auto"/>
              <w:contextualSpacing/>
              <w:jc w:val="center"/>
              <w:rPr>
                <w:b/>
                <w:sz w:val="24"/>
                <w:szCs w:val="24"/>
                <w:lang w:val="en-US" w:eastAsia="ru-RU"/>
              </w:rPr>
            </w:pPr>
            <w:r>
              <w:rPr>
                <w:b/>
                <w:sz w:val="24"/>
                <w:szCs w:val="24"/>
                <w:lang w:val="en-US" w:eastAsia="ru-RU"/>
              </w:rPr>
              <w:t>No.</w:t>
            </w:r>
          </w:p>
        </w:tc>
        <w:tc>
          <w:tcPr>
            <w:tcW w:w="3041" w:type="dxa"/>
            <w:vAlign w:val="center"/>
          </w:tcPr>
          <w:p w14:paraId="341B46C4" w14:textId="529638C4" w:rsidR="00666B03" w:rsidRPr="009F166E" w:rsidRDefault="009F166E" w:rsidP="009E60F1">
            <w:pPr>
              <w:spacing w:after="0" w:line="240" w:lineRule="auto"/>
              <w:contextualSpacing/>
              <w:jc w:val="center"/>
              <w:rPr>
                <w:b/>
                <w:sz w:val="24"/>
                <w:szCs w:val="24"/>
                <w:lang w:val="en-US" w:eastAsia="ru-RU"/>
              </w:rPr>
            </w:pPr>
            <w:r>
              <w:rPr>
                <w:b/>
                <w:sz w:val="24"/>
                <w:szCs w:val="24"/>
                <w:lang w:val="en-US" w:eastAsia="ru-RU"/>
              </w:rPr>
              <w:t>Title of target indicator</w:t>
            </w:r>
          </w:p>
        </w:tc>
        <w:tc>
          <w:tcPr>
            <w:tcW w:w="1276" w:type="dxa"/>
            <w:vAlign w:val="center"/>
          </w:tcPr>
          <w:p w14:paraId="1576A2A0" w14:textId="3ECF77A3" w:rsidR="00666B03" w:rsidRPr="009F166E" w:rsidRDefault="009F166E" w:rsidP="009E60F1">
            <w:pPr>
              <w:spacing w:after="0" w:line="240" w:lineRule="auto"/>
              <w:contextualSpacing/>
              <w:jc w:val="center"/>
              <w:rPr>
                <w:b/>
                <w:sz w:val="24"/>
                <w:szCs w:val="24"/>
                <w:lang w:val="en-US" w:eastAsia="ru-RU"/>
              </w:rPr>
            </w:pPr>
            <w:r>
              <w:rPr>
                <w:b/>
                <w:sz w:val="24"/>
                <w:szCs w:val="24"/>
                <w:lang w:val="en-US" w:eastAsia="ru-RU"/>
              </w:rPr>
              <w:t>Measurement unit</w:t>
            </w:r>
          </w:p>
        </w:tc>
        <w:tc>
          <w:tcPr>
            <w:tcW w:w="1134" w:type="dxa"/>
            <w:vAlign w:val="center"/>
          </w:tcPr>
          <w:p w14:paraId="03498A4D" w14:textId="05EBB60F" w:rsidR="00666B03" w:rsidRPr="00666B03" w:rsidRDefault="00666B03" w:rsidP="009E60F1">
            <w:pPr>
              <w:spacing w:after="0" w:line="240" w:lineRule="auto"/>
              <w:contextualSpacing/>
              <w:jc w:val="center"/>
              <w:rPr>
                <w:b/>
                <w:sz w:val="24"/>
                <w:szCs w:val="24"/>
                <w:lang w:eastAsia="ru-RU"/>
              </w:rPr>
            </w:pPr>
            <w:r w:rsidRPr="00666B03">
              <w:rPr>
                <w:b/>
                <w:sz w:val="24"/>
                <w:szCs w:val="24"/>
                <w:lang w:eastAsia="ru-RU"/>
              </w:rPr>
              <w:t>2021**</w:t>
            </w:r>
          </w:p>
        </w:tc>
        <w:tc>
          <w:tcPr>
            <w:tcW w:w="992" w:type="dxa"/>
            <w:vAlign w:val="center"/>
          </w:tcPr>
          <w:p w14:paraId="374B6BF6" w14:textId="1F24ECD0" w:rsidR="00666B03" w:rsidRPr="00666B03" w:rsidRDefault="00666B03" w:rsidP="009E60F1">
            <w:pPr>
              <w:spacing w:after="0" w:line="240" w:lineRule="auto"/>
              <w:contextualSpacing/>
              <w:jc w:val="center"/>
              <w:rPr>
                <w:b/>
                <w:sz w:val="24"/>
                <w:szCs w:val="24"/>
                <w:lang w:eastAsia="ru-RU"/>
              </w:rPr>
            </w:pPr>
            <w:r w:rsidRPr="00666B03">
              <w:rPr>
                <w:b/>
                <w:sz w:val="24"/>
                <w:szCs w:val="24"/>
                <w:lang w:eastAsia="ru-RU"/>
              </w:rPr>
              <w:t>2030</w:t>
            </w:r>
          </w:p>
        </w:tc>
        <w:tc>
          <w:tcPr>
            <w:tcW w:w="992" w:type="dxa"/>
            <w:vAlign w:val="center"/>
          </w:tcPr>
          <w:p w14:paraId="63799ADA" w14:textId="48CA2F5D" w:rsidR="00666B03" w:rsidRPr="00666B03" w:rsidRDefault="00666B03" w:rsidP="009E60F1">
            <w:pPr>
              <w:spacing w:after="0" w:line="240" w:lineRule="auto"/>
              <w:contextualSpacing/>
              <w:jc w:val="center"/>
              <w:rPr>
                <w:b/>
                <w:sz w:val="24"/>
                <w:szCs w:val="24"/>
                <w:lang w:eastAsia="ru-RU"/>
              </w:rPr>
            </w:pPr>
            <w:r w:rsidRPr="00666B03">
              <w:rPr>
                <w:b/>
                <w:sz w:val="24"/>
                <w:szCs w:val="24"/>
                <w:lang w:eastAsia="ru-RU"/>
              </w:rPr>
              <w:t>2040</w:t>
            </w:r>
          </w:p>
        </w:tc>
        <w:tc>
          <w:tcPr>
            <w:tcW w:w="993" w:type="dxa"/>
            <w:vAlign w:val="center"/>
          </w:tcPr>
          <w:p w14:paraId="4B368FE9" w14:textId="69AC1D5B" w:rsidR="00666B03" w:rsidRPr="00666B03" w:rsidRDefault="00666B03" w:rsidP="009E60F1">
            <w:pPr>
              <w:spacing w:after="0" w:line="240" w:lineRule="auto"/>
              <w:contextualSpacing/>
              <w:jc w:val="center"/>
              <w:rPr>
                <w:b/>
                <w:sz w:val="24"/>
                <w:szCs w:val="24"/>
                <w:lang w:eastAsia="ru-RU"/>
              </w:rPr>
            </w:pPr>
            <w:r w:rsidRPr="00666B03">
              <w:rPr>
                <w:b/>
                <w:sz w:val="24"/>
                <w:szCs w:val="24"/>
                <w:lang w:eastAsia="ru-RU"/>
              </w:rPr>
              <w:t>2050</w:t>
            </w:r>
          </w:p>
        </w:tc>
        <w:tc>
          <w:tcPr>
            <w:tcW w:w="1134" w:type="dxa"/>
            <w:vAlign w:val="center"/>
          </w:tcPr>
          <w:p w14:paraId="073BBB02" w14:textId="12401202" w:rsidR="00666B03" w:rsidRPr="00666B03" w:rsidRDefault="00666B03" w:rsidP="009E60F1">
            <w:pPr>
              <w:spacing w:after="0" w:line="240" w:lineRule="auto"/>
              <w:contextualSpacing/>
              <w:jc w:val="center"/>
              <w:rPr>
                <w:b/>
                <w:sz w:val="24"/>
                <w:szCs w:val="24"/>
                <w:lang w:eastAsia="ru-RU"/>
              </w:rPr>
            </w:pPr>
            <w:r w:rsidRPr="00666B03">
              <w:rPr>
                <w:b/>
                <w:sz w:val="24"/>
                <w:szCs w:val="24"/>
                <w:lang w:eastAsia="ru-RU"/>
              </w:rPr>
              <w:t>2060</w:t>
            </w:r>
          </w:p>
        </w:tc>
      </w:tr>
      <w:tr w:rsidR="00666B03" w:rsidRPr="00666B03" w14:paraId="4B5997FC" w14:textId="77777777" w:rsidTr="001630D8">
        <w:trPr>
          <w:jc w:val="center"/>
        </w:trPr>
        <w:tc>
          <w:tcPr>
            <w:tcW w:w="498" w:type="dxa"/>
            <w:vAlign w:val="center"/>
          </w:tcPr>
          <w:p w14:paraId="2A9F9A19" w14:textId="77777777" w:rsidR="00666B03" w:rsidRPr="00666B03" w:rsidRDefault="00666B03" w:rsidP="009E60F1">
            <w:pPr>
              <w:spacing w:after="0" w:line="240" w:lineRule="auto"/>
              <w:contextualSpacing/>
              <w:jc w:val="center"/>
              <w:rPr>
                <w:sz w:val="24"/>
                <w:szCs w:val="24"/>
                <w:lang w:eastAsia="ru-RU"/>
              </w:rPr>
            </w:pPr>
            <w:r w:rsidRPr="00666B03">
              <w:rPr>
                <w:sz w:val="24"/>
                <w:szCs w:val="24"/>
                <w:lang w:eastAsia="ru-RU"/>
              </w:rPr>
              <w:t>1</w:t>
            </w:r>
          </w:p>
        </w:tc>
        <w:tc>
          <w:tcPr>
            <w:tcW w:w="3041" w:type="dxa"/>
            <w:vAlign w:val="center"/>
          </w:tcPr>
          <w:p w14:paraId="47E76A8D" w14:textId="1E0D3597" w:rsidR="00666B03" w:rsidRPr="00666B03" w:rsidRDefault="009F166E" w:rsidP="009E60F1">
            <w:pPr>
              <w:spacing w:after="0" w:line="240" w:lineRule="auto"/>
              <w:contextualSpacing/>
              <w:jc w:val="both"/>
              <w:rPr>
                <w:sz w:val="24"/>
                <w:szCs w:val="24"/>
                <w:lang w:eastAsia="ru-RU"/>
              </w:rPr>
            </w:pPr>
            <w:r>
              <w:rPr>
                <w:sz w:val="24"/>
                <w:szCs w:val="24"/>
                <w:lang w:val="en-US" w:eastAsia="ru-RU"/>
              </w:rPr>
              <w:t>Net carbon footprint</w:t>
            </w:r>
            <w:r w:rsidR="00666B03" w:rsidRPr="00666B03">
              <w:rPr>
                <w:sz w:val="24"/>
                <w:szCs w:val="24"/>
                <w:lang w:eastAsia="ru-RU"/>
              </w:rPr>
              <w:t>*</w:t>
            </w:r>
          </w:p>
        </w:tc>
        <w:tc>
          <w:tcPr>
            <w:tcW w:w="1276" w:type="dxa"/>
            <w:vAlign w:val="center"/>
          </w:tcPr>
          <w:p w14:paraId="13EF8947" w14:textId="7B2AA61C" w:rsidR="00666B03" w:rsidRPr="009F166E" w:rsidRDefault="009F166E" w:rsidP="009E60F1">
            <w:pPr>
              <w:spacing w:after="0" w:line="240" w:lineRule="auto"/>
              <w:contextualSpacing/>
              <w:jc w:val="center"/>
              <w:rPr>
                <w:sz w:val="24"/>
                <w:szCs w:val="24"/>
                <w:lang w:val="en-US" w:eastAsia="ru-RU"/>
              </w:rPr>
            </w:pPr>
            <w:proofErr w:type="spellStart"/>
            <w:r>
              <w:rPr>
                <w:sz w:val="24"/>
                <w:szCs w:val="24"/>
                <w:lang w:val="en-US" w:eastAsia="ru-RU"/>
              </w:rPr>
              <w:t>mln.tons</w:t>
            </w:r>
            <w:proofErr w:type="spellEnd"/>
          </w:p>
        </w:tc>
        <w:tc>
          <w:tcPr>
            <w:tcW w:w="1134" w:type="dxa"/>
            <w:vAlign w:val="center"/>
          </w:tcPr>
          <w:p w14:paraId="67722B67" w14:textId="77777777" w:rsidR="00666B03" w:rsidRPr="00994A73" w:rsidRDefault="00994A73" w:rsidP="009E60F1">
            <w:pPr>
              <w:spacing w:after="0" w:line="240" w:lineRule="auto"/>
              <w:contextualSpacing/>
              <w:jc w:val="center"/>
              <w:rPr>
                <w:sz w:val="24"/>
                <w:szCs w:val="24"/>
                <w:lang w:val="en-US" w:eastAsia="ru-RU"/>
              </w:rPr>
            </w:pPr>
            <w:r>
              <w:rPr>
                <w:sz w:val="24"/>
                <w:szCs w:val="24"/>
                <w:lang w:eastAsia="ru-RU"/>
              </w:rPr>
              <w:t>40,</w:t>
            </w:r>
            <w:r w:rsidRPr="00994A73">
              <w:rPr>
                <w:sz w:val="24"/>
                <w:szCs w:val="24"/>
                <w:lang w:eastAsia="ru-RU"/>
              </w:rPr>
              <w:t>3</w:t>
            </w:r>
            <w:r>
              <w:rPr>
                <w:sz w:val="24"/>
                <w:szCs w:val="24"/>
                <w:lang w:val="en-US" w:eastAsia="ru-RU"/>
              </w:rPr>
              <w:t>1</w:t>
            </w:r>
          </w:p>
        </w:tc>
        <w:tc>
          <w:tcPr>
            <w:tcW w:w="992" w:type="dxa"/>
            <w:vAlign w:val="center"/>
          </w:tcPr>
          <w:p w14:paraId="21F7FA9E" w14:textId="77777777" w:rsidR="00666B03" w:rsidRPr="0097620E" w:rsidRDefault="0097620E" w:rsidP="009E60F1">
            <w:pPr>
              <w:spacing w:after="0" w:line="240" w:lineRule="auto"/>
              <w:contextualSpacing/>
              <w:jc w:val="center"/>
              <w:rPr>
                <w:sz w:val="24"/>
                <w:szCs w:val="24"/>
                <w:lang w:eastAsia="ru-RU"/>
              </w:rPr>
            </w:pPr>
            <w:r w:rsidRPr="0097620E">
              <w:rPr>
                <w:sz w:val="24"/>
                <w:szCs w:val="24"/>
                <w:lang w:eastAsia="ru-RU"/>
              </w:rPr>
              <w:t>54</w:t>
            </w:r>
          </w:p>
        </w:tc>
        <w:tc>
          <w:tcPr>
            <w:tcW w:w="992" w:type="dxa"/>
            <w:vAlign w:val="center"/>
          </w:tcPr>
          <w:p w14:paraId="41563DF7" w14:textId="77777777" w:rsidR="00666B03" w:rsidRPr="0097620E" w:rsidRDefault="0097620E" w:rsidP="009E60F1">
            <w:pPr>
              <w:spacing w:after="0" w:line="240" w:lineRule="auto"/>
              <w:contextualSpacing/>
              <w:jc w:val="center"/>
              <w:rPr>
                <w:sz w:val="24"/>
                <w:szCs w:val="24"/>
                <w:lang w:eastAsia="ru-RU"/>
              </w:rPr>
            </w:pPr>
            <w:r w:rsidRPr="0097620E">
              <w:rPr>
                <w:sz w:val="24"/>
                <w:szCs w:val="24"/>
                <w:lang w:eastAsia="ru-RU"/>
              </w:rPr>
              <w:t>31,4</w:t>
            </w:r>
          </w:p>
        </w:tc>
        <w:tc>
          <w:tcPr>
            <w:tcW w:w="993" w:type="dxa"/>
            <w:vAlign w:val="center"/>
          </w:tcPr>
          <w:p w14:paraId="2493F9E9" w14:textId="77777777" w:rsidR="00666B03" w:rsidRPr="0097620E" w:rsidRDefault="0097620E" w:rsidP="009E60F1">
            <w:pPr>
              <w:spacing w:after="0" w:line="240" w:lineRule="auto"/>
              <w:contextualSpacing/>
              <w:jc w:val="center"/>
              <w:rPr>
                <w:sz w:val="24"/>
                <w:szCs w:val="24"/>
                <w:lang w:eastAsia="ru-RU"/>
              </w:rPr>
            </w:pPr>
            <w:r w:rsidRPr="0097620E">
              <w:rPr>
                <w:sz w:val="24"/>
                <w:szCs w:val="24"/>
                <w:lang w:eastAsia="ru-RU"/>
              </w:rPr>
              <w:t>7</w:t>
            </w:r>
          </w:p>
        </w:tc>
        <w:tc>
          <w:tcPr>
            <w:tcW w:w="1134" w:type="dxa"/>
            <w:vAlign w:val="center"/>
          </w:tcPr>
          <w:p w14:paraId="5BE71691" w14:textId="77777777" w:rsidR="00666B03" w:rsidRPr="0097620E" w:rsidRDefault="0097620E" w:rsidP="009E60F1">
            <w:pPr>
              <w:spacing w:after="0" w:line="240" w:lineRule="auto"/>
              <w:contextualSpacing/>
              <w:jc w:val="center"/>
              <w:rPr>
                <w:sz w:val="24"/>
                <w:szCs w:val="24"/>
                <w:lang w:eastAsia="ru-RU"/>
              </w:rPr>
            </w:pPr>
            <w:r w:rsidRPr="0097620E">
              <w:rPr>
                <w:sz w:val="24"/>
                <w:szCs w:val="24"/>
                <w:lang w:eastAsia="ru-RU"/>
              </w:rPr>
              <w:t>0</w:t>
            </w:r>
          </w:p>
        </w:tc>
      </w:tr>
      <w:tr w:rsidR="00666B03" w:rsidRPr="00666B03" w14:paraId="3C98D0D1" w14:textId="77777777" w:rsidTr="001630D8">
        <w:trPr>
          <w:jc w:val="center"/>
        </w:trPr>
        <w:tc>
          <w:tcPr>
            <w:tcW w:w="498" w:type="dxa"/>
            <w:vAlign w:val="center"/>
          </w:tcPr>
          <w:p w14:paraId="47287A2F" w14:textId="77777777" w:rsidR="00666B03" w:rsidRPr="00666B03" w:rsidRDefault="00666B03" w:rsidP="009E60F1">
            <w:pPr>
              <w:spacing w:after="0" w:line="240" w:lineRule="auto"/>
              <w:contextualSpacing/>
              <w:jc w:val="center"/>
              <w:rPr>
                <w:sz w:val="24"/>
                <w:szCs w:val="24"/>
                <w:lang w:eastAsia="ru-RU"/>
              </w:rPr>
            </w:pPr>
            <w:r w:rsidRPr="00666B03">
              <w:rPr>
                <w:sz w:val="24"/>
                <w:szCs w:val="24"/>
                <w:lang w:eastAsia="ru-RU"/>
              </w:rPr>
              <w:t>2</w:t>
            </w:r>
          </w:p>
        </w:tc>
        <w:tc>
          <w:tcPr>
            <w:tcW w:w="3041" w:type="dxa"/>
            <w:vAlign w:val="center"/>
          </w:tcPr>
          <w:p w14:paraId="76E43C88" w14:textId="13DCFE83" w:rsidR="00666B03" w:rsidRPr="009F166E" w:rsidRDefault="009F166E" w:rsidP="009E60F1">
            <w:pPr>
              <w:spacing w:after="0" w:line="240" w:lineRule="auto"/>
              <w:contextualSpacing/>
              <w:jc w:val="both"/>
              <w:rPr>
                <w:sz w:val="24"/>
                <w:szCs w:val="24"/>
                <w:lang w:val="en-US" w:eastAsia="ru-RU"/>
              </w:rPr>
            </w:pPr>
            <w:r>
              <w:rPr>
                <w:sz w:val="24"/>
                <w:szCs w:val="24"/>
                <w:lang w:val="en-US" w:eastAsia="ru-RU"/>
              </w:rPr>
              <w:t>Reduction in net carbon footprint by</w:t>
            </w:r>
            <w:r w:rsidR="00666B03" w:rsidRPr="009F166E">
              <w:rPr>
                <w:sz w:val="24"/>
                <w:szCs w:val="24"/>
                <w:lang w:val="en-US" w:eastAsia="ru-RU"/>
              </w:rPr>
              <w:t xml:space="preserve"> 2021</w:t>
            </w:r>
          </w:p>
        </w:tc>
        <w:tc>
          <w:tcPr>
            <w:tcW w:w="1276" w:type="dxa"/>
            <w:vAlign w:val="center"/>
          </w:tcPr>
          <w:p w14:paraId="2CF316FB" w14:textId="77777777" w:rsidR="00666B03" w:rsidRPr="00666B03" w:rsidRDefault="00666B03" w:rsidP="009E60F1">
            <w:pPr>
              <w:spacing w:after="0" w:line="240" w:lineRule="auto"/>
              <w:contextualSpacing/>
              <w:jc w:val="center"/>
              <w:rPr>
                <w:sz w:val="24"/>
                <w:szCs w:val="24"/>
                <w:lang w:eastAsia="ru-RU"/>
              </w:rPr>
            </w:pPr>
            <w:r w:rsidRPr="00666B03">
              <w:rPr>
                <w:sz w:val="24"/>
                <w:szCs w:val="24"/>
                <w:lang w:eastAsia="ru-RU"/>
              </w:rPr>
              <w:t>%</w:t>
            </w:r>
          </w:p>
        </w:tc>
        <w:tc>
          <w:tcPr>
            <w:tcW w:w="1134" w:type="dxa"/>
            <w:vAlign w:val="center"/>
          </w:tcPr>
          <w:p w14:paraId="04C5727B" w14:textId="77777777" w:rsidR="00666B03" w:rsidRPr="00666B03" w:rsidRDefault="00666B03" w:rsidP="009E60F1">
            <w:pPr>
              <w:spacing w:after="0" w:line="240" w:lineRule="auto"/>
              <w:contextualSpacing/>
              <w:jc w:val="center"/>
              <w:rPr>
                <w:sz w:val="24"/>
                <w:szCs w:val="24"/>
                <w:lang w:eastAsia="ru-RU"/>
              </w:rPr>
            </w:pPr>
            <w:r w:rsidRPr="00666B03">
              <w:rPr>
                <w:sz w:val="24"/>
                <w:szCs w:val="24"/>
                <w:lang w:eastAsia="ru-RU"/>
              </w:rPr>
              <w:t>-</w:t>
            </w:r>
          </w:p>
        </w:tc>
        <w:tc>
          <w:tcPr>
            <w:tcW w:w="992" w:type="dxa"/>
            <w:vAlign w:val="center"/>
          </w:tcPr>
          <w:p w14:paraId="25C57D40" w14:textId="77777777" w:rsidR="00666B03" w:rsidRPr="0097620E" w:rsidRDefault="0097620E" w:rsidP="009E60F1">
            <w:pPr>
              <w:spacing w:after="0" w:line="240" w:lineRule="auto"/>
              <w:contextualSpacing/>
              <w:jc w:val="center"/>
              <w:rPr>
                <w:sz w:val="24"/>
                <w:szCs w:val="24"/>
                <w:lang w:eastAsia="ru-RU"/>
              </w:rPr>
            </w:pPr>
            <w:r w:rsidRPr="0097620E">
              <w:rPr>
                <w:sz w:val="24"/>
                <w:szCs w:val="24"/>
                <w:lang w:eastAsia="ru-RU"/>
              </w:rPr>
              <w:t>+33</w:t>
            </w:r>
          </w:p>
        </w:tc>
        <w:tc>
          <w:tcPr>
            <w:tcW w:w="992" w:type="dxa"/>
            <w:vAlign w:val="center"/>
          </w:tcPr>
          <w:p w14:paraId="2462CC4E" w14:textId="77777777" w:rsidR="00666B03" w:rsidRPr="0097620E" w:rsidRDefault="00666B03" w:rsidP="009E60F1">
            <w:pPr>
              <w:spacing w:after="0" w:line="240" w:lineRule="auto"/>
              <w:contextualSpacing/>
              <w:jc w:val="center"/>
              <w:rPr>
                <w:sz w:val="24"/>
                <w:szCs w:val="24"/>
                <w:lang w:eastAsia="ru-RU"/>
              </w:rPr>
            </w:pPr>
            <w:r w:rsidRPr="0097620E">
              <w:rPr>
                <w:sz w:val="24"/>
                <w:szCs w:val="24"/>
                <w:lang w:eastAsia="ru-RU"/>
              </w:rPr>
              <w:t>-</w:t>
            </w:r>
            <w:r w:rsidR="0097620E" w:rsidRPr="0097620E">
              <w:rPr>
                <w:sz w:val="24"/>
                <w:szCs w:val="24"/>
                <w:lang w:eastAsia="ru-RU"/>
              </w:rPr>
              <w:t>22</w:t>
            </w:r>
          </w:p>
        </w:tc>
        <w:tc>
          <w:tcPr>
            <w:tcW w:w="993" w:type="dxa"/>
            <w:vAlign w:val="center"/>
          </w:tcPr>
          <w:p w14:paraId="7D448DD2" w14:textId="42D3AC11" w:rsidR="00666B03" w:rsidRPr="0097620E" w:rsidRDefault="00666B03" w:rsidP="009E60F1">
            <w:pPr>
              <w:spacing w:after="0" w:line="240" w:lineRule="auto"/>
              <w:contextualSpacing/>
              <w:jc w:val="center"/>
              <w:rPr>
                <w:sz w:val="24"/>
                <w:szCs w:val="24"/>
                <w:lang w:eastAsia="ru-RU"/>
              </w:rPr>
            </w:pPr>
            <w:r w:rsidRPr="0097620E">
              <w:rPr>
                <w:sz w:val="24"/>
                <w:szCs w:val="24"/>
                <w:lang w:eastAsia="ru-RU"/>
              </w:rPr>
              <w:t>-</w:t>
            </w:r>
            <w:r w:rsidR="008520F9">
              <w:rPr>
                <w:sz w:val="24"/>
                <w:szCs w:val="24"/>
                <w:lang w:eastAsia="ru-RU"/>
              </w:rPr>
              <w:t>87</w:t>
            </w:r>
          </w:p>
        </w:tc>
        <w:tc>
          <w:tcPr>
            <w:tcW w:w="1134" w:type="dxa"/>
            <w:vAlign w:val="center"/>
          </w:tcPr>
          <w:p w14:paraId="4A01A80D" w14:textId="77777777" w:rsidR="00666B03" w:rsidRPr="0097620E" w:rsidRDefault="00666B03" w:rsidP="009E60F1">
            <w:pPr>
              <w:spacing w:after="0" w:line="240" w:lineRule="auto"/>
              <w:contextualSpacing/>
              <w:jc w:val="center"/>
              <w:rPr>
                <w:sz w:val="24"/>
                <w:szCs w:val="24"/>
                <w:lang w:eastAsia="ru-RU"/>
              </w:rPr>
            </w:pPr>
            <w:r w:rsidRPr="0097620E">
              <w:rPr>
                <w:sz w:val="24"/>
                <w:szCs w:val="24"/>
                <w:lang w:eastAsia="ru-RU"/>
              </w:rPr>
              <w:t>-</w:t>
            </w:r>
            <w:r w:rsidR="0097620E" w:rsidRPr="0097620E">
              <w:rPr>
                <w:sz w:val="24"/>
                <w:szCs w:val="24"/>
                <w:lang w:eastAsia="ru-RU"/>
              </w:rPr>
              <w:t>100</w:t>
            </w:r>
          </w:p>
        </w:tc>
      </w:tr>
      <w:tr w:rsidR="00666B03" w:rsidRPr="00666B03" w14:paraId="2035AF38" w14:textId="77777777" w:rsidTr="001630D8">
        <w:trPr>
          <w:jc w:val="center"/>
        </w:trPr>
        <w:tc>
          <w:tcPr>
            <w:tcW w:w="498" w:type="dxa"/>
            <w:vAlign w:val="center"/>
          </w:tcPr>
          <w:p w14:paraId="4D8FB073" w14:textId="77777777" w:rsidR="00666B03" w:rsidRPr="00666B03" w:rsidRDefault="00666B03" w:rsidP="009E60F1">
            <w:pPr>
              <w:spacing w:after="0" w:line="240" w:lineRule="auto"/>
              <w:contextualSpacing/>
              <w:jc w:val="center"/>
              <w:rPr>
                <w:sz w:val="24"/>
                <w:szCs w:val="24"/>
                <w:lang w:eastAsia="ru-RU"/>
              </w:rPr>
            </w:pPr>
            <w:r>
              <w:rPr>
                <w:sz w:val="24"/>
                <w:szCs w:val="24"/>
                <w:lang w:eastAsia="ru-RU"/>
              </w:rPr>
              <w:t>3</w:t>
            </w:r>
          </w:p>
        </w:tc>
        <w:tc>
          <w:tcPr>
            <w:tcW w:w="3041" w:type="dxa"/>
            <w:vAlign w:val="center"/>
          </w:tcPr>
          <w:p w14:paraId="1C711368" w14:textId="2CE92B78" w:rsidR="00666B03" w:rsidRPr="009F166E" w:rsidRDefault="009F166E" w:rsidP="009E60F1">
            <w:pPr>
              <w:spacing w:after="0" w:line="240" w:lineRule="auto"/>
              <w:contextualSpacing/>
              <w:jc w:val="both"/>
              <w:rPr>
                <w:sz w:val="24"/>
                <w:szCs w:val="24"/>
                <w:lang w:val="en-US" w:eastAsia="ru-RU"/>
              </w:rPr>
            </w:pPr>
            <w:r>
              <w:rPr>
                <w:sz w:val="24"/>
                <w:szCs w:val="24"/>
                <w:lang w:val="en-US" w:eastAsia="ru-RU"/>
              </w:rPr>
              <w:t>Reduction in specific GHG emissions</w:t>
            </w:r>
          </w:p>
        </w:tc>
        <w:tc>
          <w:tcPr>
            <w:tcW w:w="1276" w:type="dxa"/>
            <w:vAlign w:val="center"/>
          </w:tcPr>
          <w:p w14:paraId="39023846" w14:textId="77777777" w:rsidR="00666B03" w:rsidRPr="00666B03" w:rsidRDefault="00445C76" w:rsidP="009E60F1">
            <w:pPr>
              <w:spacing w:after="0" w:line="240" w:lineRule="auto"/>
              <w:contextualSpacing/>
              <w:jc w:val="center"/>
              <w:rPr>
                <w:sz w:val="24"/>
                <w:szCs w:val="24"/>
                <w:lang w:eastAsia="ru-RU"/>
              </w:rPr>
            </w:pPr>
            <w:r>
              <w:rPr>
                <w:sz w:val="24"/>
                <w:szCs w:val="24"/>
                <w:lang w:eastAsia="ru-RU"/>
              </w:rPr>
              <w:t>%</w:t>
            </w:r>
          </w:p>
        </w:tc>
        <w:tc>
          <w:tcPr>
            <w:tcW w:w="1134" w:type="dxa"/>
            <w:vAlign w:val="center"/>
          </w:tcPr>
          <w:p w14:paraId="2535B7D0" w14:textId="77777777" w:rsidR="00666B03" w:rsidRPr="00666B03" w:rsidRDefault="00666B03" w:rsidP="009E60F1">
            <w:pPr>
              <w:spacing w:after="0" w:line="240" w:lineRule="auto"/>
              <w:contextualSpacing/>
              <w:jc w:val="center"/>
              <w:rPr>
                <w:sz w:val="24"/>
                <w:szCs w:val="24"/>
                <w:lang w:eastAsia="ru-RU"/>
              </w:rPr>
            </w:pPr>
          </w:p>
        </w:tc>
        <w:tc>
          <w:tcPr>
            <w:tcW w:w="992" w:type="dxa"/>
            <w:vAlign w:val="center"/>
          </w:tcPr>
          <w:p w14:paraId="18D96CFF" w14:textId="77777777" w:rsidR="00666B03" w:rsidRPr="0097620E" w:rsidRDefault="00994A73" w:rsidP="009E60F1">
            <w:pPr>
              <w:spacing w:after="0" w:line="240" w:lineRule="auto"/>
              <w:contextualSpacing/>
              <w:jc w:val="center"/>
              <w:rPr>
                <w:sz w:val="24"/>
                <w:szCs w:val="24"/>
                <w:lang w:eastAsia="ru-RU"/>
              </w:rPr>
            </w:pPr>
            <w:r w:rsidRPr="0097620E">
              <w:t>≥40</w:t>
            </w:r>
          </w:p>
        </w:tc>
        <w:tc>
          <w:tcPr>
            <w:tcW w:w="992" w:type="dxa"/>
            <w:vAlign w:val="center"/>
          </w:tcPr>
          <w:p w14:paraId="68374295" w14:textId="77777777" w:rsidR="00666B03" w:rsidRPr="0097620E" w:rsidRDefault="00994A73" w:rsidP="009E60F1">
            <w:pPr>
              <w:spacing w:after="0" w:line="240" w:lineRule="auto"/>
              <w:contextualSpacing/>
              <w:jc w:val="center"/>
              <w:rPr>
                <w:sz w:val="24"/>
                <w:szCs w:val="24"/>
                <w:lang w:eastAsia="ru-RU"/>
              </w:rPr>
            </w:pPr>
            <w:r w:rsidRPr="0097620E">
              <w:t>≥</w:t>
            </w:r>
            <w:r w:rsidR="0097620E" w:rsidRPr="0097620E">
              <w:t>45</w:t>
            </w:r>
          </w:p>
        </w:tc>
        <w:tc>
          <w:tcPr>
            <w:tcW w:w="993" w:type="dxa"/>
            <w:vAlign w:val="center"/>
          </w:tcPr>
          <w:p w14:paraId="2B024711" w14:textId="1667DEC2" w:rsidR="00666B03" w:rsidRPr="0097620E" w:rsidRDefault="00994A73" w:rsidP="009E60F1">
            <w:pPr>
              <w:spacing w:after="0" w:line="240" w:lineRule="auto"/>
              <w:contextualSpacing/>
              <w:jc w:val="center"/>
              <w:rPr>
                <w:sz w:val="24"/>
                <w:szCs w:val="24"/>
                <w:lang w:eastAsia="ru-RU"/>
              </w:rPr>
            </w:pPr>
            <w:r w:rsidRPr="0097620E">
              <w:t>≥</w:t>
            </w:r>
            <w:r w:rsidR="008520F9">
              <w:t>7</w:t>
            </w:r>
            <w:r w:rsidRPr="0097620E">
              <w:t>0</w:t>
            </w:r>
          </w:p>
        </w:tc>
        <w:tc>
          <w:tcPr>
            <w:tcW w:w="1134" w:type="dxa"/>
            <w:vAlign w:val="center"/>
          </w:tcPr>
          <w:p w14:paraId="116D1119" w14:textId="171789E8" w:rsidR="00666B03" w:rsidRPr="0097620E" w:rsidRDefault="00994A73" w:rsidP="009E60F1">
            <w:pPr>
              <w:spacing w:after="0" w:line="240" w:lineRule="auto"/>
              <w:contextualSpacing/>
              <w:jc w:val="center"/>
              <w:rPr>
                <w:sz w:val="24"/>
                <w:szCs w:val="24"/>
                <w:lang w:eastAsia="ru-RU"/>
              </w:rPr>
            </w:pPr>
            <w:r w:rsidRPr="0097620E">
              <w:t>≥</w:t>
            </w:r>
            <w:r w:rsidR="008520F9">
              <w:t>95</w:t>
            </w:r>
          </w:p>
        </w:tc>
      </w:tr>
      <w:tr w:rsidR="00666B03" w:rsidRPr="00666B03" w14:paraId="440B8BC5" w14:textId="77777777" w:rsidTr="001630D8">
        <w:trPr>
          <w:jc w:val="center"/>
        </w:trPr>
        <w:tc>
          <w:tcPr>
            <w:tcW w:w="10060" w:type="dxa"/>
            <w:gridSpan w:val="8"/>
            <w:vAlign w:val="center"/>
          </w:tcPr>
          <w:p w14:paraId="468FC798" w14:textId="70D281FB" w:rsidR="00666B03" w:rsidRPr="009F166E" w:rsidRDefault="00666B03" w:rsidP="009E60F1">
            <w:pPr>
              <w:spacing w:after="0" w:line="240" w:lineRule="auto"/>
              <w:contextualSpacing/>
              <w:rPr>
                <w:i/>
                <w:sz w:val="16"/>
                <w:szCs w:val="16"/>
                <w:lang w:val="en-US" w:eastAsia="ru-RU"/>
              </w:rPr>
            </w:pPr>
            <w:r w:rsidRPr="009F166E">
              <w:rPr>
                <w:i/>
                <w:sz w:val="16"/>
                <w:szCs w:val="16"/>
                <w:lang w:val="en-US" w:eastAsia="ru-RU"/>
              </w:rPr>
              <w:t>*</w:t>
            </w:r>
            <w:r w:rsidR="009F166E" w:rsidRPr="009F166E">
              <w:rPr>
                <w:i/>
                <w:sz w:val="16"/>
                <w:szCs w:val="16"/>
                <w:lang w:val="en-US" w:eastAsia="ru-RU"/>
              </w:rPr>
              <w:t>Including carbon offsets and ongoing initiatives.</w:t>
            </w:r>
          </w:p>
          <w:p w14:paraId="14E8DA4D" w14:textId="731E9652" w:rsidR="00666B03" w:rsidRPr="009F166E" w:rsidRDefault="00666B03" w:rsidP="009E60F1">
            <w:pPr>
              <w:spacing w:after="0" w:line="240" w:lineRule="auto"/>
              <w:contextualSpacing/>
              <w:rPr>
                <w:i/>
                <w:sz w:val="16"/>
                <w:szCs w:val="16"/>
                <w:lang w:val="en-US" w:eastAsia="ru-RU"/>
              </w:rPr>
            </w:pPr>
            <w:r w:rsidRPr="009F166E">
              <w:rPr>
                <w:i/>
                <w:sz w:val="16"/>
                <w:szCs w:val="16"/>
                <w:lang w:val="en-US" w:eastAsia="ru-RU"/>
              </w:rPr>
              <w:t xml:space="preserve">** </w:t>
            </w:r>
            <w:r w:rsidR="009F166E">
              <w:rPr>
                <w:i/>
                <w:sz w:val="16"/>
                <w:szCs w:val="16"/>
                <w:lang w:val="en-US" w:eastAsia="ru-RU"/>
              </w:rPr>
              <w:t>actual</w:t>
            </w:r>
          </w:p>
        </w:tc>
      </w:tr>
    </w:tbl>
    <w:p w14:paraId="32DD6E22" w14:textId="77777777" w:rsidR="00B315EF" w:rsidRPr="00C0526F" w:rsidRDefault="009F166E" w:rsidP="00B315EF">
      <w:pPr>
        <w:spacing w:before="100" w:beforeAutospacing="1" w:after="100" w:afterAutospacing="1" w:line="240" w:lineRule="auto"/>
        <w:rPr>
          <w:sz w:val="24"/>
          <w:szCs w:val="24"/>
          <w:lang w:val="en-US" w:eastAsia="ru-RU"/>
        </w:rPr>
      </w:pPr>
      <w:r w:rsidRPr="00C0526F">
        <w:rPr>
          <w:bCs/>
          <w:sz w:val="24"/>
          <w:szCs w:val="24"/>
          <w:lang w:val="en-US" w:eastAsia="ru-RU"/>
        </w:rPr>
        <w:t xml:space="preserve">Conditions for </w:t>
      </w:r>
      <w:r w:rsidR="00B315EF" w:rsidRPr="00C0526F">
        <w:rPr>
          <w:bCs/>
          <w:sz w:val="24"/>
          <w:szCs w:val="24"/>
          <w:lang w:val="en-US" w:eastAsia="ru-RU"/>
        </w:rPr>
        <w:t>a</w:t>
      </w:r>
      <w:r w:rsidRPr="00C0526F">
        <w:rPr>
          <w:bCs/>
          <w:sz w:val="24"/>
          <w:szCs w:val="24"/>
          <w:lang w:val="en-US" w:eastAsia="ru-RU"/>
        </w:rPr>
        <w:t xml:space="preserve">chieving </w:t>
      </w:r>
      <w:r w:rsidR="00B315EF" w:rsidRPr="00C0526F">
        <w:rPr>
          <w:bCs/>
          <w:sz w:val="24"/>
          <w:szCs w:val="24"/>
          <w:lang w:val="en-US" w:eastAsia="ru-RU"/>
        </w:rPr>
        <w:t>t</w:t>
      </w:r>
      <w:r w:rsidRPr="00C0526F">
        <w:rPr>
          <w:bCs/>
          <w:sz w:val="24"/>
          <w:szCs w:val="24"/>
          <w:lang w:val="en-US" w:eastAsia="ru-RU"/>
        </w:rPr>
        <w:t xml:space="preserve">arget </w:t>
      </w:r>
      <w:r w:rsidR="00B315EF" w:rsidRPr="00C0526F">
        <w:rPr>
          <w:bCs/>
          <w:sz w:val="24"/>
          <w:szCs w:val="24"/>
          <w:lang w:val="en-US" w:eastAsia="ru-RU"/>
        </w:rPr>
        <w:t>i</w:t>
      </w:r>
      <w:r w:rsidRPr="00C0526F">
        <w:rPr>
          <w:bCs/>
          <w:sz w:val="24"/>
          <w:szCs w:val="24"/>
          <w:lang w:val="en-US" w:eastAsia="ru-RU"/>
        </w:rPr>
        <w:t>ndicators:</w:t>
      </w:r>
    </w:p>
    <w:p w14:paraId="2EAA504C" w14:textId="77777777" w:rsidR="00B315EF" w:rsidRDefault="009F166E" w:rsidP="00625A42">
      <w:pPr>
        <w:pStyle w:val="ab"/>
        <w:numPr>
          <w:ilvl w:val="2"/>
          <w:numId w:val="25"/>
        </w:numPr>
        <w:spacing w:before="100" w:beforeAutospacing="1" w:after="100" w:afterAutospacing="1"/>
        <w:rPr>
          <w:szCs w:val="24"/>
          <w:lang w:val="en-US"/>
        </w:rPr>
      </w:pPr>
      <w:r w:rsidRPr="00B315EF">
        <w:rPr>
          <w:szCs w:val="24"/>
          <w:lang w:val="en-US"/>
        </w:rPr>
        <w:t xml:space="preserve">Financial </w:t>
      </w:r>
      <w:r w:rsidR="00B315EF" w:rsidRPr="00B315EF">
        <w:rPr>
          <w:szCs w:val="24"/>
          <w:lang w:val="en-US"/>
        </w:rPr>
        <w:t>s</w:t>
      </w:r>
      <w:r w:rsidRPr="00B315EF">
        <w:rPr>
          <w:szCs w:val="24"/>
          <w:lang w:val="en-US"/>
        </w:rPr>
        <w:t>upport: Investments from the parent company, the government, and stakeholders.</w:t>
      </w:r>
    </w:p>
    <w:p w14:paraId="5D67C436" w14:textId="77777777" w:rsidR="00B315EF" w:rsidRDefault="009F166E" w:rsidP="00625A42">
      <w:pPr>
        <w:pStyle w:val="ab"/>
        <w:numPr>
          <w:ilvl w:val="2"/>
          <w:numId w:val="25"/>
        </w:numPr>
        <w:spacing w:before="100" w:beforeAutospacing="1" w:after="100" w:afterAutospacing="1"/>
        <w:rPr>
          <w:szCs w:val="24"/>
          <w:lang w:val="en-US"/>
        </w:rPr>
      </w:pPr>
      <w:r w:rsidRPr="00B315EF">
        <w:rPr>
          <w:szCs w:val="24"/>
          <w:lang w:val="en-US"/>
        </w:rPr>
        <w:t xml:space="preserve">Technological </w:t>
      </w:r>
      <w:r w:rsidR="00B315EF" w:rsidRPr="00B315EF">
        <w:rPr>
          <w:szCs w:val="24"/>
          <w:lang w:val="en-US"/>
        </w:rPr>
        <w:t>r</w:t>
      </w:r>
      <w:r w:rsidRPr="00B315EF">
        <w:rPr>
          <w:szCs w:val="24"/>
          <w:lang w:val="en-US"/>
        </w:rPr>
        <w:t>eadiness: Maturity of carbon capture technologies.</w:t>
      </w:r>
    </w:p>
    <w:p w14:paraId="70952726" w14:textId="77777777" w:rsidR="00B315EF" w:rsidRDefault="00B315EF" w:rsidP="00625A42">
      <w:pPr>
        <w:pStyle w:val="ab"/>
        <w:numPr>
          <w:ilvl w:val="2"/>
          <w:numId w:val="25"/>
        </w:numPr>
        <w:spacing w:before="100" w:beforeAutospacing="1" w:after="100" w:afterAutospacing="1"/>
        <w:rPr>
          <w:szCs w:val="24"/>
          <w:lang w:val="en-US"/>
        </w:rPr>
      </w:pPr>
      <w:r w:rsidRPr="00B315EF">
        <w:rPr>
          <w:szCs w:val="24"/>
          <w:lang w:val="en-US"/>
        </w:rPr>
        <w:t>RES</w:t>
      </w:r>
      <w:r w:rsidR="009F166E" w:rsidRPr="00B315EF">
        <w:rPr>
          <w:szCs w:val="24"/>
          <w:lang w:val="en-US"/>
        </w:rPr>
        <w:t xml:space="preserve"> </w:t>
      </w:r>
      <w:r w:rsidRPr="00B315EF">
        <w:rPr>
          <w:szCs w:val="24"/>
          <w:lang w:val="en-US"/>
        </w:rPr>
        <w:t>p</w:t>
      </w:r>
      <w:r w:rsidR="009F166E" w:rsidRPr="00B315EF">
        <w:rPr>
          <w:szCs w:val="24"/>
          <w:lang w:val="en-US"/>
        </w:rPr>
        <w:t xml:space="preserve">roject </w:t>
      </w:r>
      <w:r w:rsidRPr="00B315EF">
        <w:rPr>
          <w:szCs w:val="24"/>
          <w:lang w:val="en-US"/>
        </w:rPr>
        <w:t>i</w:t>
      </w:r>
      <w:r w:rsidR="009F166E" w:rsidRPr="00B315EF">
        <w:rPr>
          <w:szCs w:val="24"/>
          <w:lang w:val="en-US"/>
        </w:rPr>
        <w:t>mplementation: Strict adherence to the renewable energy construction plan.</w:t>
      </w:r>
    </w:p>
    <w:p w14:paraId="4AC14C83" w14:textId="490C1BD9" w:rsidR="009F166E" w:rsidRPr="00B315EF" w:rsidRDefault="009F166E" w:rsidP="00625A42">
      <w:pPr>
        <w:pStyle w:val="ab"/>
        <w:numPr>
          <w:ilvl w:val="2"/>
          <w:numId w:val="25"/>
        </w:numPr>
        <w:spacing w:before="100" w:beforeAutospacing="1" w:after="100" w:afterAutospacing="1"/>
        <w:rPr>
          <w:szCs w:val="24"/>
          <w:lang w:val="en-US"/>
        </w:rPr>
      </w:pPr>
      <w:r w:rsidRPr="00B315EF">
        <w:rPr>
          <w:szCs w:val="24"/>
          <w:lang w:val="en-US"/>
        </w:rPr>
        <w:t xml:space="preserve">Government </w:t>
      </w:r>
      <w:r w:rsidR="00B315EF" w:rsidRPr="00B315EF">
        <w:rPr>
          <w:szCs w:val="24"/>
          <w:lang w:val="en-US"/>
        </w:rPr>
        <w:t>s</w:t>
      </w:r>
      <w:r w:rsidRPr="00B315EF">
        <w:rPr>
          <w:szCs w:val="24"/>
          <w:lang w:val="en-US"/>
        </w:rPr>
        <w:t>upport: Active involvement of the government and the Fund in implementing emission compensation mechanisms and improving the legal and regulatory framework.</w:t>
      </w:r>
    </w:p>
    <w:p w14:paraId="74A121C4" w14:textId="32EEC4BE" w:rsidR="009F166E" w:rsidRPr="009F166E" w:rsidRDefault="00C0526F" w:rsidP="009F166E">
      <w:pPr>
        <w:spacing w:before="100" w:beforeAutospacing="1" w:after="100" w:afterAutospacing="1" w:line="240" w:lineRule="auto"/>
        <w:outlineLvl w:val="2"/>
        <w:rPr>
          <w:b/>
          <w:bCs/>
          <w:sz w:val="24"/>
          <w:szCs w:val="24"/>
          <w:lang w:val="en-US" w:eastAsia="ru-RU"/>
        </w:rPr>
      </w:pPr>
      <w:r w:rsidRPr="00BC0393">
        <w:rPr>
          <w:b/>
          <w:bCs/>
          <w:sz w:val="24"/>
          <w:szCs w:val="24"/>
          <w:lang w:val="en-US" w:eastAsia="ru-RU"/>
        </w:rPr>
        <w:t xml:space="preserve">              </w:t>
      </w:r>
      <w:bookmarkStart w:id="18" w:name="_Toc190447154"/>
      <w:r>
        <w:rPr>
          <w:b/>
          <w:bCs/>
          <w:sz w:val="24"/>
          <w:szCs w:val="24"/>
          <w:lang w:val="en-US" w:eastAsia="ru-RU"/>
        </w:rPr>
        <w:t>4.4</w:t>
      </w:r>
      <w:r w:rsidR="009F166E" w:rsidRPr="009F166E">
        <w:rPr>
          <w:b/>
          <w:bCs/>
          <w:sz w:val="24"/>
          <w:szCs w:val="24"/>
          <w:lang w:val="en-US" w:eastAsia="ru-RU"/>
        </w:rPr>
        <w:t xml:space="preserve">. Deep </w:t>
      </w:r>
      <w:proofErr w:type="spellStart"/>
      <w:r w:rsidR="00B315EF" w:rsidRPr="00B315EF">
        <w:rPr>
          <w:b/>
          <w:bCs/>
          <w:sz w:val="24"/>
          <w:szCs w:val="24"/>
          <w:lang w:val="en-US" w:eastAsia="ru-RU"/>
        </w:rPr>
        <w:t>d</w:t>
      </w:r>
      <w:r w:rsidR="009F166E" w:rsidRPr="009F166E">
        <w:rPr>
          <w:b/>
          <w:bCs/>
          <w:sz w:val="24"/>
          <w:szCs w:val="24"/>
          <w:lang w:val="en-US" w:eastAsia="ru-RU"/>
        </w:rPr>
        <w:t>ecarbonisation</w:t>
      </w:r>
      <w:proofErr w:type="spellEnd"/>
      <w:r w:rsidR="009F166E" w:rsidRPr="009F166E">
        <w:rPr>
          <w:b/>
          <w:bCs/>
          <w:sz w:val="24"/>
          <w:szCs w:val="24"/>
          <w:lang w:val="en-US" w:eastAsia="ru-RU"/>
        </w:rPr>
        <w:t xml:space="preserve"> </w:t>
      </w:r>
      <w:r w:rsidR="00B315EF" w:rsidRPr="00B315EF">
        <w:rPr>
          <w:b/>
          <w:bCs/>
          <w:sz w:val="24"/>
          <w:szCs w:val="24"/>
          <w:lang w:val="en-US" w:eastAsia="ru-RU"/>
        </w:rPr>
        <w:t>s</w:t>
      </w:r>
      <w:r w:rsidR="009F166E" w:rsidRPr="009F166E">
        <w:rPr>
          <w:b/>
          <w:bCs/>
          <w:sz w:val="24"/>
          <w:szCs w:val="24"/>
          <w:lang w:val="en-US" w:eastAsia="ru-RU"/>
        </w:rPr>
        <w:t>cenario</w:t>
      </w:r>
      <w:bookmarkEnd w:id="18"/>
    </w:p>
    <w:p w14:paraId="649956C9" w14:textId="33E58604" w:rsidR="009F166E" w:rsidRPr="009F166E" w:rsidRDefault="009F166E" w:rsidP="00B315EF">
      <w:pPr>
        <w:spacing w:after="0" w:line="240" w:lineRule="auto"/>
        <w:rPr>
          <w:sz w:val="24"/>
          <w:szCs w:val="24"/>
          <w:lang w:val="en-US" w:eastAsia="ru-RU"/>
        </w:rPr>
      </w:pPr>
      <w:r w:rsidRPr="009F166E">
        <w:rPr>
          <w:sz w:val="24"/>
          <w:szCs w:val="24"/>
          <w:lang w:val="en-US" w:eastAsia="ru-RU"/>
        </w:rPr>
        <w:t xml:space="preserve">The </w:t>
      </w:r>
      <w:r w:rsidRPr="009F166E">
        <w:rPr>
          <w:b/>
          <w:bCs/>
          <w:sz w:val="24"/>
          <w:szCs w:val="24"/>
          <w:lang w:val="en-US" w:eastAsia="ru-RU"/>
        </w:rPr>
        <w:t xml:space="preserve">Deep </w:t>
      </w:r>
      <w:proofErr w:type="spellStart"/>
      <w:r w:rsidR="00B315EF">
        <w:rPr>
          <w:b/>
          <w:bCs/>
          <w:sz w:val="24"/>
          <w:szCs w:val="24"/>
          <w:lang w:val="en-US" w:eastAsia="ru-RU"/>
        </w:rPr>
        <w:t>d</w:t>
      </w:r>
      <w:r w:rsidRPr="009F166E">
        <w:rPr>
          <w:b/>
          <w:bCs/>
          <w:sz w:val="24"/>
          <w:szCs w:val="24"/>
          <w:lang w:val="en-US" w:eastAsia="ru-RU"/>
        </w:rPr>
        <w:t>ecarbonisation</w:t>
      </w:r>
      <w:proofErr w:type="spellEnd"/>
      <w:r w:rsidRPr="009F166E">
        <w:rPr>
          <w:b/>
          <w:bCs/>
          <w:sz w:val="24"/>
          <w:szCs w:val="24"/>
          <w:lang w:val="en-US" w:eastAsia="ru-RU"/>
        </w:rPr>
        <w:t xml:space="preserve"> (Ambitious)</w:t>
      </w:r>
      <w:r w:rsidRPr="009F166E">
        <w:rPr>
          <w:sz w:val="24"/>
          <w:szCs w:val="24"/>
          <w:lang w:val="en-US" w:eastAsia="ru-RU"/>
        </w:rPr>
        <w:t xml:space="preserve"> scenario foresees a significant increase in the share of renewable energy within the Company through promising future projects, alongside the adoption of existing low-carbon technologies. This scenario aligns with the key principles of the Net Zero Emissions (NZE50) scenario. The NZE scenario anticipates that countries will achieve net-zero emissions by 2050. It incorporates the weaker aspects of the </w:t>
      </w:r>
      <w:proofErr w:type="spellStart"/>
      <w:r w:rsidRPr="009F166E">
        <w:rPr>
          <w:sz w:val="24"/>
          <w:szCs w:val="24"/>
          <w:lang w:val="en-US" w:eastAsia="ru-RU"/>
        </w:rPr>
        <w:t>Decarbonisation</w:t>
      </w:r>
      <w:proofErr w:type="spellEnd"/>
      <w:r w:rsidRPr="009F166E">
        <w:rPr>
          <w:sz w:val="24"/>
          <w:szCs w:val="24"/>
          <w:lang w:val="en-US" w:eastAsia="ru-RU"/>
        </w:rPr>
        <w:t xml:space="preserve"> scenario and increases the ambitions for decommissioning traditional blocks and expanding the required additional renewable energy capacity. Emission trajectories under the Deep </w:t>
      </w:r>
      <w:proofErr w:type="spellStart"/>
      <w:r w:rsidR="00B315EF">
        <w:rPr>
          <w:sz w:val="24"/>
          <w:szCs w:val="24"/>
          <w:lang w:val="en-US" w:eastAsia="ru-RU"/>
        </w:rPr>
        <w:t>d</w:t>
      </w:r>
      <w:r w:rsidRPr="009F166E">
        <w:rPr>
          <w:sz w:val="24"/>
          <w:szCs w:val="24"/>
          <w:lang w:val="en-US" w:eastAsia="ru-RU"/>
        </w:rPr>
        <w:t>ecarbonisation</w:t>
      </w:r>
      <w:proofErr w:type="spellEnd"/>
      <w:r w:rsidRPr="009F166E">
        <w:rPr>
          <w:sz w:val="24"/>
          <w:szCs w:val="24"/>
          <w:lang w:val="en-US" w:eastAsia="ru-RU"/>
        </w:rPr>
        <w:t xml:space="preserve"> scenario are in line with a 50% probability of limiting global warming to 1.5°C without exceeding the maximum temperature threshold. The target indicators for this scenario are presented in Table 4.</w:t>
      </w:r>
    </w:p>
    <w:p w14:paraId="2D664F12" w14:textId="77777777" w:rsidR="009F166E" w:rsidRDefault="009F166E" w:rsidP="00C0526F">
      <w:pPr>
        <w:spacing w:after="0" w:line="240" w:lineRule="auto"/>
        <w:ind w:firstLine="708"/>
        <w:rPr>
          <w:sz w:val="24"/>
          <w:szCs w:val="24"/>
          <w:lang w:val="en-US" w:eastAsia="ru-RU"/>
        </w:rPr>
      </w:pPr>
      <w:r w:rsidRPr="009F166E">
        <w:rPr>
          <w:sz w:val="24"/>
          <w:szCs w:val="24"/>
          <w:lang w:val="en-US" w:eastAsia="ru-RU"/>
        </w:rPr>
        <w:t>Carbon neutrality is achieved by 2050.</w:t>
      </w:r>
    </w:p>
    <w:p w14:paraId="0CFE812C" w14:textId="77777777" w:rsidR="00C0526F" w:rsidRPr="009F166E" w:rsidRDefault="00C0526F" w:rsidP="00C0526F">
      <w:pPr>
        <w:spacing w:after="0" w:line="240" w:lineRule="auto"/>
        <w:ind w:firstLine="708"/>
        <w:rPr>
          <w:sz w:val="24"/>
          <w:szCs w:val="24"/>
          <w:lang w:val="en-US" w:eastAsia="ru-RU"/>
        </w:rPr>
      </w:pPr>
    </w:p>
    <w:p w14:paraId="48F42BAC" w14:textId="77777777" w:rsidR="009F166E" w:rsidRPr="009F166E" w:rsidRDefault="009F166E" w:rsidP="00B315EF">
      <w:pPr>
        <w:spacing w:after="0" w:line="240" w:lineRule="auto"/>
        <w:rPr>
          <w:sz w:val="24"/>
          <w:szCs w:val="24"/>
          <w:lang w:val="en-US" w:eastAsia="ru-RU"/>
        </w:rPr>
      </w:pPr>
      <w:r w:rsidRPr="009F166E">
        <w:rPr>
          <w:sz w:val="24"/>
          <w:szCs w:val="24"/>
          <w:lang w:val="en-US" w:eastAsia="ru-RU"/>
        </w:rPr>
        <w:t xml:space="preserve">Table 4. Target Indicators of the </w:t>
      </w:r>
      <w:proofErr w:type="spellStart"/>
      <w:r w:rsidRPr="009F166E">
        <w:rPr>
          <w:sz w:val="24"/>
          <w:szCs w:val="24"/>
          <w:lang w:val="en-US" w:eastAsia="ru-RU"/>
        </w:rPr>
        <w:t>Programme</w:t>
      </w:r>
      <w:proofErr w:type="spellEnd"/>
      <w:r w:rsidRPr="009F166E">
        <w:rPr>
          <w:sz w:val="24"/>
          <w:szCs w:val="24"/>
          <w:lang w:val="en-US" w:eastAsia="ru-RU"/>
        </w:rPr>
        <w:t xml:space="preserve"> (under the Deep </w:t>
      </w:r>
      <w:proofErr w:type="spellStart"/>
      <w:r w:rsidRPr="009F166E">
        <w:rPr>
          <w:sz w:val="24"/>
          <w:szCs w:val="24"/>
          <w:lang w:val="en-US" w:eastAsia="ru-RU"/>
        </w:rPr>
        <w:t>Decarbonisation</w:t>
      </w:r>
      <w:proofErr w:type="spellEnd"/>
      <w:r w:rsidRPr="009F166E">
        <w:rPr>
          <w:sz w:val="24"/>
          <w:szCs w:val="24"/>
          <w:lang w:val="en-US" w:eastAsia="ru-RU"/>
        </w:rPr>
        <w:t xml:space="preserve"> scenario).</w:t>
      </w:r>
    </w:p>
    <w:tbl>
      <w:tblPr>
        <w:tblStyle w:val="aa"/>
        <w:tblW w:w="9776" w:type="dxa"/>
        <w:jc w:val="center"/>
        <w:tblLayout w:type="fixed"/>
        <w:tblLook w:val="04A0" w:firstRow="1" w:lastRow="0" w:firstColumn="1" w:lastColumn="0" w:noHBand="0" w:noVBand="1"/>
      </w:tblPr>
      <w:tblGrid>
        <w:gridCol w:w="498"/>
        <w:gridCol w:w="2899"/>
        <w:gridCol w:w="1215"/>
        <w:gridCol w:w="1195"/>
        <w:gridCol w:w="992"/>
        <w:gridCol w:w="993"/>
        <w:gridCol w:w="992"/>
        <w:gridCol w:w="992"/>
      </w:tblGrid>
      <w:tr w:rsidR="00B315EF" w:rsidRPr="00666B03" w14:paraId="1F3728B3" w14:textId="77777777" w:rsidTr="008D7F7A">
        <w:trPr>
          <w:jc w:val="center"/>
        </w:trPr>
        <w:tc>
          <w:tcPr>
            <w:tcW w:w="498" w:type="dxa"/>
            <w:vAlign w:val="center"/>
          </w:tcPr>
          <w:p w14:paraId="24A567D0" w14:textId="77777777"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w:t>
            </w:r>
          </w:p>
        </w:tc>
        <w:tc>
          <w:tcPr>
            <w:tcW w:w="2899" w:type="dxa"/>
            <w:vAlign w:val="center"/>
          </w:tcPr>
          <w:p w14:paraId="788C64DC" w14:textId="3B6CC2B8" w:rsidR="00B315EF" w:rsidRPr="00666B03" w:rsidRDefault="00B315EF" w:rsidP="00B315EF">
            <w:pPr>
              <w:spacing w:after="0" w:line="240" w:lineRule="auto"/>
              <w:contextualSpacing/>
              <w:jc w:val="center"/>
              <w:rPr>
                <w:b/>
                <w:sz w:val="24"/>
                <w:szCs w:val="24"/>
                <w:lang w:eastAsia="ru-RU"/>
              </w:rPr>
            </w:pPr>
            <w:r>
              <w:rPr>
                <w:b/>
                <w:sz w:val="24"/>
                <w:szCs w:val="24"/>
                <w:lang w:val="en-US" w:eastAsia="ru-RU"/>
              </w:rPr>
              <w:t>Title of target indicator</w:t>
            </w:r>
          </w:p>
        </w:tc>
        <w:tc>
          <w:tcPr>
            <w:tcW w:w="1215" w:type="dxa"/>
            <w:vAlign w:val="center"/>
          </w:tcPr>
          <w:p w14:paraId="3D064502" w14:textId="29E4401A" w:rsidR="00B315EF" w:rsidRPr="00666B03" w:rsidRDefault="00B315EF" w:rsidP="00B315EF">
            <w:pPr>
              <w:spacing w:after="0" w:line="240" w:lineRule="auto"/>
              <w:contextualSpacing/>
              <w:jc w:val="center"/>
              <w:rPr>
                <w:b/>
                <w:sz w:val="24"/>
                <w:szCs w:val="24"/>
                <w:lang w:eastAsia="ru-RU"/>
              </w:rPr>
            </w:pPr>
            <w:r>
              <w:rPr>
                <w:b/>
                <w:sz w:val="24"/>
                <w:szCs w:val="24"/>
                <w:lang w:val="en-US" w:eastAsia="ru-RU"/>
              </w:rPr>
              <w:t>Measurement unit</w:t>
            </w:r>
          </w:p>
        </w:tc>
        <w:tc>
          <w:tcPr>
            <w:tcW w:w="1195" w:type="dxa"/>
            <w:vAlign w:val="center"/>
          </w:tcPr>
          <w:p w14:paraId="34922595" w14:textId="1228DA46"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2021**</w:t>
            </w:r>
          </w:p>
        </w:tc>
        <w:tc>
          <w:tcPr>
            <w:tcW w:w="992" w:type="dxa"/>
            <w:vAlign w:val="center"/>
          </w:tcPr>
          <w:p w14:paraId="65B8A662" w14:textId="779E2EF9"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2030</w:t>
            </w:r>
          </w:p>
        </w:tc>
        <w:tc>
          <w:tcPr>
            <w:tcW w:w="993" w:type="dxa"/>
            <w:vAlign w:val="center"/>
          </w:tcPr>
          <w:p w14:paraId="77D3F4F6" w14:textId="77224DD5"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2040</w:t>
            </w:r>
          </w:p>
        </w:tc>
        <w:tc>
          <w:tcPr>
            <w:tcW w:w="992" w:type="dxa"/>
            <w:vAlign w:val="center"/>
          </w:tcPr>
          <w:p w14:paraId="196968C5" w14:textId="76688B13"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2050</w:t>
            </w:r>
          </w:p>
        </w:tc>
        <w:tc>
          <w:tcPr>
            <w:tcW w:w="992" w:type="dxa"/>
            <w:vAlign w:val="center"/>
          </w:tcPr>
          <w:p w14:paraId="7BE51A84" w14:textId="25BCD58F" w:rsidR="00B315EF" w:rsidRPr="00666B03" w:rsidRDefault="00B315EF" w:rsidP="00B315EF">
            <w:pPr>
              <w:spacing w:after="0" w:line="240" w:lineRule="auto"/>
              <w:contextualSpacing/>
              <w:jc w:val="center"/>
              <w:rPr>
                <w:b/>
                <w:sz w:val="24"/>
                <w:szCs w:val="24"/>
                <w:lang w:eastAsia="ru-RU"/>
              </w:rPr>
            </w:pPr>
            <w:r w:rsidRPr="00666B03">
              <w:rPr>
                <w:b/>
                <w:sz w:val="24"/>
                <w:szCs w:val="24"/>
                <w:lang w:eastAsia="ru-RU"/>
              </w:rPr>
              <w:t>2060</w:t>
            </w:r>
          </w:p>
        </w:tc>
      </w:tr>
      <w:tr w:rsidR="00E734BE" w:rsidRPr="00666B03" w14:paraId="12686DF1" w14:textId="77777777" w:rsidTr="008D7F7A">
        <w:trPr>
          <w:jc w:val="center"/>
        </w:trPr>
        <w:tc>
          <w:tcPr>
            <w:tcW w:w="498" w:type="dxa"/>
            <w:vAlign w:val="center"/>
          </w:tcPr>
          <w:p w14:paraId="2221207D" w14:textId="77777777" w:rsidR="00E734BE" w:rsidRPr="00666B03" w:rsidRDefault="00E734BE" w:rsidP="009E60F1">
            <w:pPr>
              <w:spacing w:after="0" w:line="240" w:lineRule="auto"/>
              <w:contextualSpacing/>
              <w:jc w:val="center"/>
              <w:rPr>
                <w:sz w:val="24"/>
                <w:szCs w:val="24"/>
                <w:lang w:eastAsia="ru-RU"/>
              </w:rPr>
            </w:pPr>
            <w:r w:rsidRPr="00666B03">
              <w:rPr>
                <w:sz w:val="24"/>
                <w:szCs w:val="24"/>
                <w:lang w:eastAsia="ru-RU"/>
              </w:rPr>
              <w:t>1</w:t>
            </w:r>
          </w:p>
        </w:tc>
        <w:tc>
          <w:tcPr>
            <w:tcW w:w="2899" w:type="dxa"/>
            <w:vAlign w:val="center"/>
          </w:tcPr>
          <w:p w14:paraId="6BE81D7F" w14:textId="6577101D" w:rsidR="00E734BE" w:rsidRPr="00666B03" w:rsidRDefault="00B315EF" w:rsidP="009E60F1">
            <w:pPr>
              <w:spacing w:after="0" w:line="240" w:lineRule="auto"/>
              <w:contextualSpacing/>
              <w:jc w:val="both"/>
              <w:rPr>
                <w:sz w:val="24"/>
                <w:szCs w:val="24"/>
                <w:lang w:eastAsia="ru-RU"/>
              </w:rPr>
            </w:pPr>
            <w:r>
              <w:rPr>
                <w:sz w:val="24"/>
                <w:szCs w:val="24"/>
                <w:lang w:val="en-US" w:eastAsia="ru-RU"/>
              </w:rPr>
              <w:t>Net carbon footprint</w:t>
            </w:r>
            <w:r w:rsidR="00E734BE" w:rsidRPr="00666B03">
              <w:rPr>
                <w:sz w:val="24"/>
                <w:szCs w:val="24"/>
                <w:lang w:eastAsia="ru-RU"/>
              </w:rPr>
              <w:t>*</w:t>
            </w:r>
          </w:p>
        </w:tc>
        <w:tc>
          <w:tcPr>
            <w:tcW w:w="1215" w:type="dxa"/>
            <w:vAlign w:val="center"/>
          </w:tcPr>
          <w:p w14:paraId="42C072EB" w14:textId="08F77919" w:rsidR="00E734BE" w:rsidRPr="00B315EF" w:rsidRDefault="00B315EF" w:rsidP="009E60F1">
            <w:pPr>
              <w:spacing w:after="0" w:line="240" w:lineRule="auto"/>
              <w:contextualSpacing/>
              <w:jc w:val="center"/>
              <w:rPr>
                <w:sz w:val="24"/>
                <w:szCs w:val="24"/>
                <w:lang w:val="en-US" w:eastAsia="ru-RU"/>
              </w:rPr>
            </w:pPr>
            <w:proofErr w:type="spellStart"/>
            <w:r>
              <w:rPr>
                <w:sz w:val="24"/>
                <w:szCs w:val="24"/>
                <w:lang w:val="en-US" w:eastAsia="ru-RU"/>
              </w:rPr>
              <w:t>mln.tons</w:t>
            </w:r>
            <w:proofErr w:type="spellEnd"/>
          </w:p>
        </w:tc>
        <w:tc>
          <w:tcPr>
            <w:tcW w:w="1195" w:type="dxa"/>
            <w:vAlign w:val="center"/>
          </w:tcPr>
          <w:p w14:paraId="6C057CDB" w14:textId="77777777" w:rsidR="00E734BE" w:rsidRPr="00994A73" w:rsidRDefault="00E734BE" w:rsidP="009E60F1">
            <w:pPr>
              <w:spacing w:after="0" w:line="240" w:lineRule="auto"/>
              <w:contextualSpacing/>
              <w:jc w:val="center"/>
              <w:rPr>
                <w:sz w:val="24"/>
                <w:szCs w:val="24"/>
                <w:lang w:val="en-US" w:eastAsia="ru-RU"/>
              </w:rPr>
            </w:pPr>
            <w:r>
              <w:rPr>
                <w:sz w:val="24"/>
                <w:szCs w:val="24"/>
                <w:lang w:eastAsia="ru-RU"/>
              </w:rPr>
              <w:t>40,</w:t>
            </w:r>
            <w:r w:rsidRPr="00994A73">
              <w:rPr>
                <w:sz w:val="24"/>
                <w:szCs w:val="24"/>
                <w:lang w:eastAsia="ru-RU"/>
              </w:rPr>
              <w:t>3</w:t>
            </w:r>
            <w:r>
              <w:rPr>
                <w:sz w:val="24"/>
                <w:szCs w:val="24"/>
                <w:lang w:val="en-US" w:eastAsia="ru-RU"/>
              </w:rPr>
              <w:t>1</w:t>
            </w:r>
          </w:p>
        </w:tc>
        <w:tc>
          <w:tcPr>
            <w:tcW w:w="992" w:type="dxa"/>
            <w:vAlign w:val="center"/>
          </w:tcPr>
          <w:p w14:paraId="2993D572" w14:textId="77777777" w:rsidR="00E734BE" w:rsidRPr="001D0019" w:rsidRDefault="001D0019" w:rsidP="009E60F1">
            <w:pPr>
              <w:spacing w:after="0" w:line="240" w:lineRule="auto"/>
              <w:contextualSpacing/>
              <w:jc w:val="center"/>
              <w:rPr>
                <w:sz w:val="24"/>
                <w:szCs w:val="24"/>
                <w:lang w:eastAsia="ru-RU"/>
              </w:rPr>
            </w:pPr>
            <w:r w:rsidRPr="001D0019">
              <w:rPr>
                <w:sz w:val="24"/>
                <w:szCs w:val="24"/>
                <w:lang w:eastAsia="ru-RU"/>
              </w:rPr>
              <w:t>54</w:t>
            </w:r>
          </w:p>
        </w:tc>
        <w:tc>
          <w:tcPr>
            <w:tcW w:w="993" w:type="dxa"/>
            <w:vAlign w:val="center"/>
          </w:tcPr>
          <w:p w14:paraId="277041DE" w14:textId="77777777" w:rsidR="00E734BE" w:rsidRPr="001D0019" w:rsidRDefault="001D0019" w:rsidP="009E60F1">
            <w:pPr>
              <w:spacing w:after="0" w:line="240" w:lineRule="auto"/>
              <w:contextualSpacing/>
              <w:jc w:val="center"/>
              <w:rPr>
                <w:sz w:val="24"/>
                <w:szCs w:val="24"/>
                <w:lang w:eastAsia="ru-RU"/>
              </w:rPr>
            </w:pPr>
            <w:r w:rsidRPr="001D0019">
              <w:rPr>
                <w:sz w:val="24"/>
                <w:szCs w:val="24"/>
                <w:lang w:eastAsia="ru-RU"/>
              </w:rPr>
              <w:t>31,4</w:t>
            </w:r>
          </w:p>
        </w:tc>
        <w:tc>
          <w:tcPr>
            <w:tcW w:w="992" w:type="dxa"/>
            <w:vAlign w:val="center"/>
          </w:tcPr>
          <w:p w14:paraId="189BB81E" w14:textId="77777777" w:rsidR="00E734BE" w:rsidRPr="001D0019" w:rsidRDefault="001D0019" w:rsidP="009E60F1">
            <w:pPr>
              <w:spacing w:after="0" w:line="240" w:lineRule="auto"/>
              <w:contextualSpacing/>
              <w:jc w:val="center"/>
              <w:rPr>
                <w:sz w:val="24"/>
                <w:szCs w:val="24"/>
                <w:lang w:eastAsia="ru-RU"/>
              </w:rPr>
            </w:pPr>
            <w:r w:rsidRPr="001D0019">
              <w:rPr>
                <w:sz w:val="24"/>
                <w:szCs w:val="24"/>
                <w:lang w:eastAsia="ru-RU"/>
              </w:rPr>
              <w:t>0</w:t>
            </w:r>
          </w:p>
        </w:tc>
        <w:tc>
          <w:tcPr>
            <w:tcW w:w="992" w:type="dxa"/>
            <w:vAlign w:val="center"/>
          </w:tcPr>
          <w:p w14:paraId="28F321E7" w14:textId="77777777" w:rsidR="00E734BE" w:rsidRPr="001D0019" w:rsidRDefault="001D0019" w:rsidP="009E60F1">
            <w:pPr>
              <w:spacing w:after="0" w:line="240" w:lineRule="auto"/>
              <w:contextualSpacing/>
              <w:jc w:val="center"/>
              <w:rPr>
                <w:sz w:val="24"/>
                <w:szCs w:val="24"/>
                <w:lang w:eastAsia="ru-RU"/>
              </w:rPr>
            </w:pPr>
            <w:r w:rsidRPr="001D0019">
              <w:rPr>
                <w:sz w:val="24"/>
                <w:szCs w:val="24"/>
                <w:lang w:eastAsia="ru-RU"/>
              </w:rPr>
              <w:t>0</w:t>
            </w:r>
          </w:p>
        </w:tc>
      </w:tr>
      <w:tr w:rsidR="00B315EF" w:rsidRPr="00666B03" w14:paraId="2AB9923C" w14:textId="77777777" w:rsidTr="008D7F7A">
        <w:trPr>
          <w:jc w:val="center"/>
        </w:trPr>
        <w:tc>
          <w:tcPr>
            <w:tcW w:w="498" w:type="dxa"/>
            <w:vAlign w:val="center"/>
          </w:tcPr>
          <w:p w14:paraId="4B4E73EB" w14:textId="77777777" w:rsidR="00B315EF" w:rsidRPr="00666B03" w:rsidRDefault="00B315EF" w:rsidP="00B315EF">
            <w:pPr>
              <w:spacing w:after="0" w:line="240" w:lineRule="auto"/>
              <w:contextualSpacing/>
              <w:jc w:val="center"/>
              <w:rPr>
                <w:sz w:val="24"/>
                <w:szCs w:val="24"/>
                <w:lang w:eastAsia="ru-RU"/>
              </w:rPr>
            </w:pPr>
            <w:r w:rsidRPr="00666B03">
              <w:rPr>
                <w:sz w:val="24"/>
                <w:szCs w:val="24"/>
                <w:lang w:eastAsia="ru-RU"/>
              </w:rPr>
              <w:t>2</w:t>
            </w:r>
          </w:p>
        </w:tc>
        <w:tc>
          <w:tcPr>
            <w:tcW w:w="2899" w:type="dxa"/>
            <w:vAlign w:val="center"/>
          </w:tcPr>
          <w:p w14:paraId="1BC1CF25" w14:textId="60742E9A" w:rsidR="00B315EF" w:rsidRPr="00B315EF" w:rsidRDefault="00B315EF" w:rsidP="00B315EF">
            <w:pPr>
              <w:spacing w:after="0" w:line="240" w:lineRule="auto"/>
              <w:contextualSpacing/>
              <w:jc w:val="both"/>
              <w:rPr>
                <w:sz w:val="24"/>
                <w:szCs w:val="24"/>
                <w:lang w:val="en-US" w:eastAsia="ru-RU"/>
              </w:rPr>
            </w:pPr>
            <w:r>
              <w:rPr>
                <w:sz w:val="24"/>
                <w:szCs w:val="24"/>
                <w:lang w:val="en-US" w:eastAsia="ru-RU"/>
              </w:rPr>
              <w:t>Reduction in net carbon footprint by</w:t>
            </w:r>
            <w:r w:rsidRPr="009F166E">
              <w:rPr>
                <w:sz w:val="24"/>
                <w:szCs w:val="24"/>
                <w:lang w:val="en-US" w:eastAsia="ru-RU"/>
              </w:rPr>
              <w:t xml:space="preserve"> 2021</w:t>
            </w:r>
          </w:p>
        </w:tc>
        <w:tc>
          <w:tcPr>
            <w:tcW w:w="1215" w:type="dxa"/>
            <w:vAlign w:val="center"/>
          </w:tcPr>
          <w:p w14:paraId="753490EF" w14:textId="77777777" w:rsidR="00B315EF" w:rsidRPr="00666B03" w:rsidRDefault="00B315EF" w:rsidP="00B315EF">
            <w:pPr>
              <w:spacing w:after="0" w:line="240" w:lineRule="auto"/>
              <w:contextualSpacing/>
              <w:jc w:val="center"/>
              <w:rPr>
                <w:sz w:val="24"/>
                <w:szCs w:val="24"/>
                <w:lang w:eastAsia="ru-RU"/>
              </w:rPr>
            </w:pPr>
            <w:r w:rsidRPr="00666B03">
              <w:rPr>
                <w:sz w:val="24"/>
                <w:szCs w:val="24"/>
                <w:lang w:eastAsia="ru-RU"/>
              </w:rPr>
              <w:t>%</w:t>
            </w:r>
          </w:p>
        </w:tc>
        <w:tc>
          <w:tcPr>
            <w:tcW w:w="1195" w:type="dxa"/>
            <w:vAlign w:val="center"/>
          </w:tcPr>
          <w:p w14:paraId="7CA92080" w14:textId="77777777" w:rsidR="00B315EF" w:rsidRPr="00666B03" w:rsidRDefault="00B315EF" w:rsidP="00B315EF">
            <w:pPr>
              <w:spacing w:after="0" w:line="240" w:lineRule="auto"/>
              <w:contextualSpacing/>
              <w:jc w:val="center"/>
              <w:rPr>
                <w:sz w:val="24"/>
                <w:szCs w:val="24"/>
                <w:lang w:eastAsia="ru-RU"/>
              </w:rPr>
            </w:pPr>
            <w:r w:rsidRPr="00666B03">
              <w:rPr>
                <w:sz w:val="24"/>
                <w:szCs w:val="24"/>
                <w:lang w:eastAsia="ru-RU"/>
              </w:rPr>
              <w:t>-</w:t>
            </w:r>
          </w:p>
        </w:tc>
        <w:tc>
          <w:tcPr>
            <w:tcW w:w="992" w:type="dxa"/>
            <w:vAlign w:val="center"/>
          </w:tcPr>
          <w:p w14:paraId="7F50BC1E" w14:textId="77777777" w:rsidR="00B315EF" w:rsidRPr="001D0019" w:rsidRDefault="00B315EF" w:rsidP="00B315EF">
            <w:pPr>
              <w:spacing w:after="0" w:line="240" w:lineRule="auto"/>
              <w:contextualSpacing/>
              <w:jc w:val="center"/>
              <w:rPr>
                <w:sz w:val="24"/>
                <w:szCs w:val="24"/>
                <w:lang w:eastAsia="ru-RU"/>
              </w:rPr>
            </w:pPr>
            <w:r w:rsidRPr="001D0019">
              <w:rPr>
                <w:sz w:val="24"/>
                <w:szCs w:val="24"/>
                <w:lang w:eastAsia="ru-RU"/>
              </w:rPr>
              <w:t>+33</w:t>
            </w:r>
          </w:p>
        </w:tc>
        <w:tc>
          <w:tcPr>
            <w:tcW w:w="993" w:type="dxa"/>
            <w:vAlign w:val="center"/>
          </w:tcPr>
          <w:p w14:paraId="574DC136" w14:textId="1257B98A" w:rsidR="00B315EF" w:rsidRPr="001D0019" w:rsidRDefault="00B315EF" w:rsidP="00B315EF">
            <w:pPr>
              <w:spacing w:after="0" w:line="240" w:lineRule="auto"/>
              <w:contextualSpacing/>
              <w:jc w:val="center"/>
              <w:rPr>
                <w:sz w:val="24"/>
                <w:szCs w:val="24"/>
                <w:lang w:eastAsia="ru-RU"/>
              </w:rPr>
            </w:pPr>
            <w:r>
              <w:rPr>
                <w:sz w:val="24"/>
                <w:szCs w:val="24"/>
                <w:lang w:eastAsia="ru-RU"/>
              </w:rPr>
              <w:t>-30</w:t>
            </w:r>
          </w:p>
        </w:tc>
        <w:tc>
          <w:tcPr>
            <w:tcW w:w="992" w:type="dxa"/>
            <w:vAlign w:val="center"/>
          </w:tcPr>
          <w:p w14:paraId="5CFA0743" w14:textId="77777777" w:rsidR="00B315EF" w:rsidRPr="001D0019" w:rsidRDefault="00B315EF" w:rsidP="00B315EF">
            <w:pPr>
              <w:spacing w:after="0" w:line="240" w:lineRule="auto"/>
              <w:contextualSpacing/>
              <w:jc w:val="center"/>
              <w:rPr>
                <w:sz w:val="24"/>
                <w:szCs w:val="24"/>
                <w:lang w:eastAsia="ru-RU"/>
              </w:rPr>
            </w:pPr>
            <w:r w:rsidRPr="001D0019">
              <w:rPr>
                <w:sz w:val="24"/>
                <w:szCs w:val="24"/>
                <w:lang w:eastAsia="ru-RU"/>
              </w:rPr>
              <w:t>-100</w:t>
            </w:r>
          </w:p>
        </w:tc>
        <w:tc>
          <w:tcPr>
            <w:tcW w:w="992" w:type="dxa"/>
            <w:vAlign w:val="center"/>
          </w:tcPr>
          <w:p w14:paraId="7EF57C96" w14:textId="77777777" w:rsidR="00B315EF" w:rsidRPr="001D0019" w:rsidRDefault="00B315EF" w:rsidP="00B315EF">
            <w:pPr>
              <w:spacing w:after="0" w:line="240" w:lineRule="auto"/>
              <w:contextualSpacing/>
              <w:jc w:val="center"/>
              <w:rPr>
                <w:sz w:val="24"/>
                <w:szCs w:val="24"/>
                <w:lang w:eastAsia="ru-RU"/>
              </w:rPr>
            </w:pPr>
            <w:r w:rsidRPr="001D0019">
              <w:rPr>
                <w:sz w:val="24"/>
                <w:szCs w:val="24"/>
                <w:lang w:eastAsia="ru-RU"/>
              </w:rPr>
              <w:t>-100</w:t>
            </w:r>
          </w:p>
        </w:tc>
      </w:tr>
      <w:tr w:rsidR="00B315EF" w:rsidRPr="00666B03" w14:paraId="4E6AB09A" w14:textId="77777777" w:rsidTr="008D7F7A">
        <w:trPr>
          <w:jc w:val="center"/>
        </w:trPr>
        <w:tc>
          <w:tcPr>
            <w:tcW w:w="498" w:type="dxa"/>
            <w:vAlign w:val="center"/>
          </w:tcPr>
          <w:p w14:paraId="2C2BD87F" w14:textId="77777777" w:rsidR="00B315EF" w:rsidRPr="00666B03" w:rsidRDefault="00B315EF" w:rsidP="00B315EF">
            <w:pPr>
              <w:spacing w:after="0" w:line="240" w:lineRule="auto"/>
              <w:contextualSpacing/>
              <w:jc w:val="center"/>
              <w:rPr>
                <w:sz w:val="24"/>
                <w:szCs w:val="24"/>
                <w:lang w:eastAsia="ru-RU"/>
              </w:rPr>
            </w:pPr>
            <w:r>
              <w:rPr>
                <w:sz w:val="24"/>
                <w:szCs w:val="24"/>
                <w:lang w:eastAsia="ru-RU"/>
              </w:rPr>
              <w:t>3</w:t>
            </w:r>
          </w:p>
        </w:tc>
        <w:tc>
          <w:tcPr>
            <w:tcW w:w="2899" w:type="dxa"/>
            <w:vAlign w:val="center"/>
          </w:tcPr>
          <w:p w14:paraId="291D4BAB" w14:textId="237F5A8F" w:rsidR="00B315EF" w:rsidRPr="00B315EF" w:rsidRDefault="00B315EF" w:rsidP="00B315EF">
            <w:pPr>
              <w:spacing w:after="0" w:line="240" w:lineRule="auto"/>
              <w:contextualSpacing/>
              <w:jc w:val="both"/>
              <w:rPr>
                <w:sz w:val="24"/>
                <w:szCs w:val="24"/>
                <w:lang w:val="en-US" w:eastAsia="ru-RU"/>
              </w:rPr>
            </w:pPr>
            <w:r>
              <w:rPr>
                <w:sz w:val="24"/>
                <w:szCs w:val="24"/>
                <w:lang w:val="en-US" w:eastAsia="ru-RU"/>
              </w:rPr>
              <w:t>Reduction in specific GHG emissions</w:t>
            </w:r>
          </w:p>
        </w:tc>
        <w:tc>
          <w:tcPr>
            <w:tcW w:w="1215" w:type="dxa"/>
            <w:vAlign w:val="center"/>
          </w:tcPr>
          <w:p w14:paraId="63EC9631" w14:textId="77777777" w:rsidR="00B315EF" w:rsidRPr="00B315EF" w:rsidRDefault="00B315EF" w:rsidP="00B315EF">
            <w:pPr>
              <w:spacing w:after="0" w:line="240" w:lineRule="auto"/>
              <w:contextualSpacing/>
              <w:jc w:val="center"/>
              <w:rPr>
                <w:sz w:val="24"/>
                <w:szCs w:val="24"/>
                <w:lang w:val="en-US" w:eastAsia="ru-RU"/>
              </w:rPr>
            </w:pPr>
          </w:p>
        </w:tc>
        <w:tc>
          <w:tcPr>
            <w:tcW w:w="1195" w:type="dxa"/>
            <w:vAlign w:val="center"/>
          </w:tcPr>
          <w:p w14:paraId="064AC30D" w14:textId="77777777" w:rsidR="00B315EF" w:rsidRPr="00B315EF" w:rsidRDefault="00B315EF" w:rsidP="00B315EF">
            <w:pPr>
              <w:spacing w:after="0" w:line="240" w:lineRule="auto"/>
              <w:contextualSpacing/>
              <w:jc w:val="center"/>
              <w:rPr>
                <w:sz w:val="24"/>
                <w:szCs w:val="24"/>
                <w:lang w:val="en-US" w:eastAsia="ru-RU"/>
              </w:rPr>
            </w:pPr>
          </w:p>
        </w:tc>
        <w:tc>
          <w:tcPr>
            <w:tcW w:w="992" w:type="dxa"/>
            <w:vAlign w:val="center"/>
          </w:tcPr>
          <w:p w14:paraId="7D2976C0" w14:textId="77777777" w:rsidR="00B315EF" w:rsidRPr="00552D71" w:rsidRDefault="00B315EF" w:rsidP="00B315EF">
            <w:pPr>
              <w:spacing w:after="0" w:line="240" w:lineRule="auto"/>
              <w:contextualSpacing/>
              <w:jc w:val="center"/>
              <w:rPr>
                <w:sz w:val="24"/>
                <w:szCs w:val="24"/>
                <w:lang w:eastAsia="ru-RU"/>
              </w:rPr>
            </w:pPr>
            <w:r>
              <w:t>≥40</w:t>
            </w:r>
          </w:p>
        </w:tc>
        <w:tc>
          <w:tcPr>
            <w:tcW w:w="993" w:type="dxa"/>
            <w:vAlign w:val="center"/>
          </w:tcPr>
          <w:p w14:paraId="3ABDAA52" w14:textId="77777777" w:rsidR="00B315EF" w:rsidRPr="00552D71" w:rsidRDefault="00B315EF" w:rsidP="00B315EF">
            <w:pPr>
              <w:spacing w:after="0" w:line="240" w:lineRule="auto"/>
              <w:contextualSpacing/>
              <w:jc w:val="center"/>
              <w:rPr>
                <w:sz w:val="24"/>
                <w:szCs w:val="24"/>
                <w:lang w:eastAsia="ru-RU"/>
              </w:rPr>
            </w:pPr>
            <w:r>
              <w:t>≥4</w:t>
            </w:r>
            <w:r w:rsidRPr="00552D71">
              <w:t>5</w:t>
            </w:r>
          </w:p>
        </w:tc>
        <w:tc>
          <w:tcPr>
            <w:tcW w:w="992" w:type="dxa"/>
            <w:vAlign w:val="center"/>
          </w:tcPr>
          <w:p w14:paraId="193BEE53" w14:textId="1F8BDC2F" w:rsidR="00B315EF" w:rsidRPr="00552D71" w:rsidRDefault="00B315EF" w:rsidP="00B315EF">
            <w:pPr>
              <w:spacing w:after="0" w:line="240" w:lineRule="auto"/>
              <w:contextualSpacing/>
              <w:jc w:val="center"/>
              <w:rPr>
                <w:sz w:val="24"/>
                <w:szCs w:val="24"/>
                <w:lang w:eastAsia="ru-RU"/>
              </w:rPr>
            </w:pPr>
            <w:r>
              <w:t>≥80</w:t>
            </w:r>
          </w:p>
        </w:tc>
        <w:tc>
          <w:tcPr>
            <w:tcW w:w="992" w:type="dxa"/>
            <w:vAlign w:val="center"/>
          </w:tcPr>
          <w:p w14:paraId="2B329429" w14:textId="0B4D42EC" w:rsidR="00B315EF" w:rsidRPr="00552D71" w:rsidRDefault="00B315EF" w:rsidP="00B315EF">
            <w:pPr>
              <w:spacing w:after="0" w:line="240" w:lineRule="auto"/>
              <w:contextualSpacing/>
              <w:jc w:val="center"/>
              <w:rPr>
                <w:sz w:val="24"/>
                <w:szCs w:val="24"/>
                <w:highlight w:val="yellow"/>
                <w:lang w:eastAsia="ru-RU"/>
              </w:rPr>
            </w:pPr>
            <w:r>
              <w:t>≥100</w:t>
            </w:r>
          </w:p>
        </w:tc>
      </w:tr>
      <w:tr w:rsidR="00677B95" w:rsidRPr="00666B03" w14:paraId="79361846" w14:textId="77777777" w:rsidTr="008D7F7A">
        <w:trPr>
          <w:jc w:val="center"/>
        </w:trPr>
        <w:tc>
          <w:tcPr>
            <w:tcW w:w="9776" w:type="dxa"/>
            <w:gridSpan w:val="8"/>
            <w:vAlign w:val="center"/>
          </w:tcPr>
          <w:p w14:paraId="71FE686F" w14:textId="77777777" w:rsidR="00B315EF" w:rsidRPr="009F166E" w:rsidRDefault="00B315EF" w:rsidP="00B315EF">
            <w:pPr>
              <w:spacing w:after="0" w:line="240" w:lineRule="auto"/>
              <w:contextualSpacing/>
              <w:rPr>
                <w:i/>
                <w:sz w:val="16"/>
                <w:szCs w:val="16"/>
                <w:lang w:val="en-US" w:eastAsia="ru-RU"/>
              </w:rPr>
            </w:pPr>
            <w:r w:rsidRPr="009F166E">
              <w:rPr>
                <w:i/>
                <w:sz w:val="16"/>
                <w:szCs w:val="16"/>
                <w:lang w:val="en-US" w:eastAsia="ru-RU"/>
              </w:rPr>
              <w:t>*Including carbon offsets and ongoing initiatives.</w:t>
            </w:r>
          </w:p>
          <w:p w14:paraId="712024F1" w14:textId="47F94CC8" w:rsidR="00677B95" w:rsidRPr="00666B03" w:rsidRDefault="00B315EF" w:rsidP="00B315EF">
            <w:pPr>
              <w:spacing w:after="0" w:line="240" w:lineRule="auto"/>
              <w:contextualSpacing/>
              <w:rPr>
                <w:sz w:val="24"/>
                <w:szCs w:val="24"/>
                <w:lang w:eastAsia="ru-RU"/>
              </w:rPr>
            </w:pPr>
            <w:r w:rsidRPr="009F166E">
              <w:rPr>
                <w:i/>
                <w:sz w:val="16"/>
                <w:szCs w:val="16"/>
                <w:lang w:val="en-US" w:eastAsia="ru-RU"/>
              </w:rPr>
              <w:t xml:space="preserve">** </w:t>
            </w:r>
            <w:r>
              <w:rPr>
                <w:i/>
                <w:sz w:val="16"/>
                <w:szCs w:val="16"/>
                <w:lang w:val="en-US" w:eastAsia="ru-RU"/>
              </w:rPr>
              <w:t>actual</w:t>
            </w:r>
          </w:p>
        </w:tc>
      </w:tr>
    </w:tbl>
    <w:p w14:paraId="2B4E36D5" w14:textId="77777777" w:rsidR="008D7F7A" w:rsidRDefault="008D7F7A" w:rsidP="00B315EF">
      <w:pPr>
        <w:pStyle w:val="ab"/>
        <w:ind w:left="0"/>
      </w:pPr>
    </w:p>
    <w:p w14:paraId="4377F06B" w14:textId="2191E6CB" w:rsidR="00B315EF" w:rsidRPr="00B315EF" w:rsidRDefault="00B315EF" w:rsidP="00C0526F">
      <w:pPr>
        <w:spacing w:after="0" w:line="240" w:lineRule="auto"/>
        <w:ind w:firstLine="708"/>
        <w:rPr>
          <w:sz w:val="24"/>
          <w:szCs w:val="24"/>
          <w:lang w:val="en-US" w:eastAsia="ru-RU"/>
        </w:rPr>
      </w:pPr>
      <w:r>
        <w:rPr>
          <w:sz w:val="24"/>
          <w:szCs w:val="24"/>
          <w:lang w:val="en-US" w:eastAsia="ru-RU"/>
        </w:rPr>
        <w:t>T</w:t>
      </w:r>
      <w:r w:rsidRPr="00B315EF">
        <w:rPr>
          <w:sz w:val="24"/>
          <w:szCs w:val="24"/>
          <w:lang w:val="en-US" w:eastAsia="ru-RU"/>
        </w:rPr>
        <w:t>he implementation of this scenario will depend on a variety of factors, including technological breakthroughs, political decisions, and social changes.</w:t>
      </w:r>
    </w:p>
    <w:p w14:paraId="6B4F0E23" w14:textId="3B537476" w:rsidR="00B315EF" w:rsidRPr="00B315EF" w:rsidRDefault="00B315EF" w:rsidP="00B315EF">
      <w:pPr>
        <w:spacing w:after="0" w:line="240" w:lineRule="auto"/>
        <w:rPr>
          <w:sz w:val="24"/>
          <w:szCs w:val="24"/>
          <w:lang w:val="en-US" w:eastAsia="ru-RU"/>
        </w:rPr>
      </w:pPr>
      <w:r w:rsidRPr="00B315EF">
        <w:rPr>
          <w:sz w:val="24"/>
          <w:szCs w:val="24"/>
          <w:lang w:val="en-US" w:eastAsia="ru-RU"/>
        </w:rPr>
        <w:t xml:space="preserve">Conditions for </w:t>
      </w:r>
      <w:r>
        <w:rPr>
          <w:sz w:val="24"/>
          <w:szCs w:val="24"/>
          <w:lang w:val="en-US" w:eastAsia="ru-RU"/>
        </w:rPr>
        <w:t>a</w:t>
      </w:r>
      <w:r w:rsidRPr="00B315EF">
        <w:rPr>
          <w:sz w:val="24"/>
          <w:szCs w:val="24"/>
          <w:lang w:val="en-US" w:eastAsia="ru-RU"/>
        </w:rPr>
        <w:t>chieving</w:t>
      </w:r>
      <w:r>
        <w:rPr>
          <w:sz w:val="24"/>
          <w:szCs w:val="24"/>
          <w:lang w:val="en-US" w:eastAsia="ru-RU"/>
        </w:rPr>
        <w:t xml:space="preserve"> t</w:t>
      </w:r>
      <w:r w:rsidRPr="00B315EF">
        <w:rPr>
          <w:sz w:val="24"/>
          <w:szCs w:val="24"/>
          <w:lang w:val="en-US" w:eastAsia="ru-RU"/>
        </w:rPr>
        <w:t xml:space="preserve">arget </w:t>
      </w:r>
      <w:r>
        <w:rPr>
          <w:sz w:val="24"/>
          <w:szCs w:val="24"/>
          <w:lang w:val="en-US" w:eastAsia="ru-RU"/>
        </w:rPr>
        <w:t>i</w:t>
      </w:r>
      <w:r w:rsidRPr="00B315EF">
        <w:rPr>
          <w:sz w:val="24"/>
          <w:szCs w:val="24"/>
          <w:lang w:val="en-US" w:eastAsia="ru-RU"/>
        </w:rPr>
        <w:t>ndicators:</w:t>
      </w:r>
    </w:p>
    <w:p w14:paraId="52DE49AD" w14:textId="3A8B0E13" w:rsidR="00B315EF" w:rsidRPr="00B315EF" w:rsidRDefault="00B315EF" w:rsidP="00625A42">
      <w:pPr>
        <w:pStyle w:val="ab"/>
        <w:numPr>
          <w:ilvl w:val="0"/>
          <w:numId w:val="28"/>
        </w:numPr>
        <w:rPr>
          <w:szCs w:val="24"/>
          <w:lang w:val="en-US"/>
        </w:rPr>
      </w:pPr>
      <w:r w:rsidRPr="00B315EF">
        <w:rPr>
          <w:szCs w:val="24"/>
          <w:lang w:val="en-US"/>
        </w:rPr>
        <w:t xml:space="preserve">Financial </w:t>
      </w:r>
      <w:r>
        <w:rPr>
          <w:szCs w:val="24"/>
          <w:lang w:val="en-US"/>
        </w:rPr>
        <w:t>s</w:t>
      </w:r>
      <w:r w:rsidRPr="00B315EF">
        <w:rPr>
          <w:szCs w:val="24"/>
          <w:lang w:val="en-US"/>
        </w:rPr>
        <w:t>upport: Investments from the parent company, the government, and stakeholders.</w:t>
      </w:r>
    </w:p>
    <w:p w14:paraId="34BD6085" w14:textId="3872760A" w:rsidR="00B315EF" w:rsidRPr="00B315EF" w:rsidRDefault="00B315EF" w:rsidP="00625A42">
      <w:pPr>
        <w:numPr>
          <w:ilvl w:val="0"/>
          <w:numId w:val="28"/>
        </w:numPr>
        <w:spacing w:after="0" w:line="240" w:lineRule="auto"/>
        <w:rPr>
          <w:sz w:val="24"/>
          <w:szCs w:val="24"/>
          <w:lang w:val="en-US" w:eastAsia="ru-RU"/>
        </w:rPr>
      </w:pPr>
      <w:r w:rsidRPr="00B315EF">
        <w:rPr>
          <w:sz w:val="24"/>
          <w:szCs w:val="24"/>
          <w:lang w:val="en-US" w:eastAsia="ru-RU"/>
        </w:rPr>
        <w:t xml:space="preserve">Technological </w:t>
      </w:r>
      <w:r>
        <w:rPr>
          <w:sz w:val="24"/>
          <w:szCs w:val="24"/>
          <w:lang w:val="en-US" w:eastAsia="ru-RU"/>
        </w:rPr>
        <w:t>r</w:t>
      </w:r>
      <w:r w:rsidRPr="00B315EF">
        <w:rPr>
          <w:sz w:val="24"/>
          <w:szCs w:val="24"/>
          <w:lang w:val="en-US" w:eastAsia="ru-RU"/>
        </w:rPr>
        <w:t>eadiness: The maturity of carbon capture technologies.</w:t>
      </w:r>
    </w:p>
    <w:p w14:paraId="602C8CA8" w14:textId="7AC522D3" w:rsidR="00B315EF" w:rsidRPr="00B315EF" w:rsidRDefault="00B315EF" w:rsidP="00625A42">
      <w:pPr>
        <w:numPr>
          <w:ilvl w:val="0"/>
          <w:numId w:val="28"/>
        </w:numPr>
        <w:spacing w:after="0" w:line="240" w:lineRule="auto"/>
        <w:rPr>
          <w:sz w:val="24"/>
          <w:szCs w:val="24"/>
          <w:lang w:val="en-US" w:eastAsia="ru-RU"/>
        </w:rPr>
      </w:pPr>
      <w:r w:rsidRPr="00B315EF">
        <w:rPr>
          <w:sz w:val="24"/>
          <w:szCs w:val="24"/>
          <w:lang w:val="en-US" w:eastAsia="ru-RU"/>
        </w:rPr>
        <w:t xml:space="preserve">Energy Security </w:t>
      </w:r>
      <w:r>
        <w:rPr>
          <w:sz w:val="24"/>
          <w:szCs w:val="24"/>
          <w:lang w:val="en-US" w:eastAsia="ru-RU"/>
        </w:rPr>
        <w:t>a</w:t>
      </w:r>
      <w:r w:rsidRPr="00B315EF">
        <w:rPr>
          <w:sz w:val="24"/>
          <w:szCs w:val="24"/>
          <w:lang w:val="en-US" w:eastAsia="ru-RU"/>
        </w:rPr>
        <w:t xml:space="preserve">ssurance with Government </w:t>
      </w:r>
      <w:r>
        <w:rPr>
          <w:sz w:val="24"/>
          <w:szCs w:val="24"/>
          <w:lang w:val="en-US" w:eastAsia="ru-RU"/>
        </w:rPr>
        <w:t>s</w:t>
      </w:r>
      <w:r w:rsidRPr="00B315EF">
        <w:rPr>
          <w:sz w:val="24"/>
          <w:szCs w:val="24"/>
          <w:lang w:val="en-US" w:eastAsia="ru-RU"/>
        </w:rPr>
        <w:t>upport.</w:t>
      </w:r>
    </w:p>
    <w:p w14:paraId="281CE7AB" w14:textId="77777777" w:rsidR="00B315EF" w:rsidRPr="00B315EF" w:rsidRDefault="00B315EF" w:rsidP="00625A42">
      <w:pPr>
        <w:numPr>
          <w:ilvl w:val="0"/>
          <w:numId w:val="28"/>
        </w:numPr>
        <w:spacing w:after="0" w:line="240" w:lineRule="auto"/>
        <w:rPr>
          <w:sz w:val="24"/>
          <w:szCs w:val="24"/>
          <w:lang w:val="en-US" w:eastAsia="ru-RU"/>
        </w:rPr>
      </w:pPr>
      <w:r w:rsidRPr="00B315EF">
        <w:rPr>
          <w:sz w:val="24"/>
          <w:szCs w:val="24"/>
          <w:lang w:val="en-US" w:eastAsia="ru-RU"/>
        </w:rPr>
        <w:t>Implementation of Renewable Energy Projects.</w:t>
      </w:r>
    </w:p>
    <w:p w14:paraId="77F04E67" w14:textId="65CFE5DB" w:rsidR="00B315EF" w:rsidRPr="00B315EF" w:rsidRDefault="00B315EF" w:rsidP="00625A42">
      <w:pPr>
        <w:numPr>
          <w:ilvl w:val="0"/>
          <w:numId w:val="28"/>
        </w:numPr>
        <w:spacing w:after="0" w:line="240" w:lineRule="auto"/>
        <w:rPr>
          <w:sz w:val="24"/>
          <w:szCs w:val="24"/>
          <w:lang w:val="en-US" w:eastAsia="ru-RU"/>
        </w:rPr>
      </w:pPr>
      <w:r w:rsidRPr="00B315EF">
        <w:rPr>
          <w:sz w:val="24"/>
          <w:szCs w:val="24"/>
          <w:lang w:val="en-US" w:eastAsia="ru-RU"/>
        </w:rPr>
        <w:t xml:space="preserve">Government </w:t>
      </w:r>
      <w:r>
        <w:rPr>
          <w:sz w:val="24"/>
          <w:szCs w:val="24"/>
          <w:lang w:val="en-US" w:eastAsia="ru-RU"/>
        </w:rPr>
        <w:t>s</w:t>
      </w:r>
      <w:r w:rsidRPr="00B315EF">
        <w:rPr>
          <w:sz w:val="24"/>
          <w:szCs w:val="24"/>
          <w:lang w:val="en-US" w:eastAsia="ru-RU"/>
        </w:rPr>
        <w:t>upport: Active involvement of the government and the Fund in implementing emission compensation mechanisms and enhancing the regulatory framework.</w:t>
      </w:r>
    </w:p>
    <w:p w14:paraId="58FCC9F7" w14:textId="77777777" w:rsidR="00B315EF" w:rsidRPr="00B315EF" w:rsidRDefault="00B315EF" w:rsidP="00B315EF">
      <w:pPr>
        <w:spacing w:after="0" w:line="240" w:lineRule="auto"/>
        <w:rPr>
          <w:sz w:val="24"/>
          <w:szCs w:val="24"/>
          <w:lang w:val="en-US" w:eastAsia="ru-RU"/>
        </w:rPr>
      </w:pPr>
      <w:r w:rsidRPr="00B315EF">
        <w:rPr>
          <w:sz w:val="24"/>
          <w:szCs w:val="24"/>
          <w:lang w:val="en-US" w:eastAsia="ru-RU"/>
        </w:rPr>
        <w:t>The implementation of this scenario requires a detailed examination of socio-economic prospects, including ensuring a stable electricity supply for the region, affordable tariffs, and the retraining and employment of workers currently engaged in traditional power generation.</w:t>
      </w:r>
    </w:p>
    <w:p w14:paraId="28DFE27E" w14:textId="77777777" w:rsidR="00170495" w:rsidRPr="00B315EF" w:rsidRDefault="00170495" w:rsidP="00170495">
      <w:pPr>
        <w:pStyle w:val="ab"/>
        <w:tabs>
          <w:tab w:val="left" w:pos="1134"/>
        </w:tabs>
        <w:ind w:left="709"/>
        <w:rPr>
          <w:spacing w:val="-2"/>
          <w:szCs w:val="24"/>
          <w:lang w:val="en-US"/>
        </w:rPr>
      </w:pPr>
    </w:p>
    <w:p w14:paraId="3000C6B4" w14:textId="6557E4DB" w:rsidR="00484054" w:rsidRPr="001D0019" w:rsidRDefault="00FE5946" w:rsidP="008A7600">
      <w:pPr>
        <w:pStyle w:val="ab"/>
        <w:numPr>
          <w:ilvl w:val="0"/>
          <w:numId w:val="44"/>
        </w:numPr>
        <w:ind w:left="0" w:firstLine="709"/>
        <w:jc w:val="center"/>
        <w:outlineLvl w:val="0"/>
        <w:rPr>
          <w:b/>
          <w:szCs w:val="24"/>
        </w:rPr>
      </w:pPr>
      <w:bookmarkStart w:id="19" w:name="_Toc190447155"/>
      <w:r>
        <w:rPr>
          <w:b/>
          <w:szCs w:val="24"/>
          <w:lang w:val="en-US"/>
        </w:rPr>
        <w:t>Funding sources</w:t>
      </w:r>
      <w:bookmarkEnd w:id="19"/>
    </w:p>
    <w:p w14:paraId="2A9E3EF6" w14:textId="77777777" w:rsidR="00FE5946" w:rsidRPr="00FE5946" w:rsidRDefault="00FE5946" w:rsidP="00550F24">
      <w:pPr>
        <w:pStyle w:val="a3"/>
        <w:spacing w:before="0" w:beforeAutospacing="0" w:after="0" w:afterAutospacing="0"/>
        <w:ind w:firstLine="709"/>
        <w:rPr>
          <w:lang w:val="en-US"/>
        </w:rPr>
      </w:pPr>
      <w:r w:rsidRPr="00FE5946">
        <w:rPr>
          <w:lang w:val="en-US"/>
        </w:rPr>
        <w:t xml:space="preserve">The Company faces the need to secure significant investments to implement the </w:t>
      </w:r>
      <w:proofErr w:type="spellStart"/>
      <w:r w:rsidRPr="00FE5946">
        <w:rPr>
          <w:lang w:val="en-US"/>
        </w:rPr>
        <w:t>Programme</w:t>
      </w:r>
      <w:proofErr w:type="spellEnd"/>
      <w:r w:rsidRPr="00FE5946">
        <w:rPr>
          <w:lang w:val="en-US"/>
        </w:rPr>
        <w:t>. Given the limitations of current financial resources, the Company is considering the option of raising debt financing and increasing its share capital through the Shareholder (the Fund).</w:t>
      </w:r>
    </w:p>
    <w:p w14:paraId="13E232B8" w14:textId="5E534D86" w:rsidR="00FE5946" w:rsidRPr="00FE5946" w:rsidRDefault="00FE5946" w:rsidP="00550F24">
      <w:pPr>
        <w:pStyle w:val="a3"/>
        <w:spacing w:before="0" w:beforeAutospacing="0" w:after="0" w:afterAutospacing="0"/>
        <w:ind w:firstLine="709"/>
        <w:rPr>
          <w:lang w:val="en-US"/>
        </w:rPr>
      </w:pPr>
      <w:r w:rsidRPr="00FE5946">
        <w:rPr>
          <w:lang w:val="en-US"/>
        </w:rPr>
        <w:t xml:space="preserve">To enhance investment attractiveness and </w:t>
      </w:r>
      <w:r w:rsidR="00550F24" w:rsidRPr="00FE5946">
        <w:rPr>
          <w:lang w:val="en-US"/>
        </w:rPr>
        <w:t>optimize</w:t>
      </w:r>
      <w:r w:rsidRPr="00FE5946">
        <w:rPr>
          <w:lang w:val="en-US"/>
        </w:rPr>
        <w:t xml:space="preserve"> the asset portfolio, a corporate restructuring option should be considered. In particular, assets related to renewable energy and hydropower should be transferred to the balance sheet of PLC “Qazaq Green Power.” This decision would enable the creation of a more flexible and investor-friendly structure focused on the development of “green” energy. Attracting strategic investors to the projects of PLC “Qazaq Green Power” will be a crucial step in securing funding for the Program and ensuring the Company’s further development. </w:t>
      </w:r>
    </w:p>
    <w:p w14:paraId="67C07E07" w14:textId="2E12D146" w:rsidR="00FE5946" w:rsidRPr="00FE5946" w:rsidRDefault="00FE5946" w:rsidP="00C0526F">
      <w:pPr>
        <w:pStyle w:val="a3"/>
        <w:spacing w:before="0" w:beforeAutospacing="0" w:after="0" w:afterAutospacing="0"/>
        <w:ind w:firstLine="708"/>
        <w:rPr>
          <w:lang w:val="en-US"/>
        </w:rPr>
      </w:pPr>
      <w:r w:rsidRPr="00FE5946">
        <w:rPr>
          <w:lang w:val="en-US"/>
        </w:rPr>
        <w:t xml:space="preserve">It is worth noting that global trends aimed at expanding renewable energy and reducing greenhouse gas emissions create </w:t>
      </w:r>
      <w:r w:rsidR="00550F24" w:rsidRPr="00FE5946">
        <w:rPr>
          <w:lang w:val="en-US"/>
        </w:rPr>
        <w:t>favorable</w:t>
      </w:r>
      <w:r w:rsidRPr="00FE5946">
        <w:rPr>
          <w:lang w:val="en-US"/>
        </w:rPr>
        <w:t xml:space="preserve"> conditions for implementing investment projects in this sector. International financial institutions and their support programs actively back such projects, offering long-term financing on </w:t>
      </w:r>
      <w:proofErr w:type="spellStart"/>
      <w:r w:rsidRPr="00FE5946">
        <w:rPr>
          <w:lang w:val="en-US"/>
        </w:rPr>
        <w:t>favourable</w:t>
      </w:r>
      <w:proofErr w:type="spellEnd"/>
      <w:r w:rsidRPr="00FE5946">
        <w:rPr>
          <w:lang w:val="en-US"/>
        </w:rPr>
        <w:t xml:space="preserve"> terms. Meanwhile, the largest investment funds and banks (e.g., EBRD, ADB, World Bank, Bank of China, ING, and others) are scaling back investments in high-emission assets, including coal-based projects, and redirecting funds to the construction of new renewable energy capacity. Key partners in financing renewable energy projects could include international financial institutions such as the World Bank, EBRD, ADB, Asian Infrastructure Investment Bank, as well as Kazakhstan's Development Bank. These </w:t>
      </w:r>
      <w:r w:rsidR="00550F24" w:rsidRPr="00FE5946">
        <w:rPr>
          <w:lang w:val="en-US"/>
        </w:rPr>
        <w:t>organizations</w:t>
      </w:r>
      <w:r w:rsidRPr="00FE5946">
        <w:rPr>
          <w:lang w:val="en-US"/>
        </w:rPr>
        <w:t xml:space="preserve"> are actively supporting the development of renewable energy in the country and the region.</w:t>
      </w:r>
    </w:p>
    <w:p w14:paraId="5EAFD3CB" w14:textId="16F4B9BD" w:rsidR="00FE5946" w:rsidRPr="00FE5946" w:rsidRDefault="00FE5946" w:rsidP="005E637E">
      <w:pPr>
        <w:pStyle w:val="a3"/>
        <w:spacing w:before="0" w:beforeAutospacing="0" w:after="0" w:afterAutospacing="0"/>
        <w:ind w:firstLine="426"/>
        <w:rPr>
          <w:lang w:val="en-US"/>
        </w:rPr>
      </w:pPr>
      <w:r w:rsidRPr="00FE5946">
        <w:rPr>
          <w:lang w:val="en-US"/>
        </w:rPr>
        <w:t xml:space="preserve">The government is also providing comprehensive support for the development of “green” energy. The development and implementation of a state program for transitioning to a “green” economy, the creation of a </w:t>
      </w:r>
      <w:r w:rsidR="00550F24" w:rsidRPr="00FE5946">
        <w:rPr>
          <w:lang w:val="en-US"/>
        </w:rPr>
        <w:t>favorable</w:t>
      </w:r>
      <w:r w:rsidRPr="00FE5946">
        <w:rPr>
          <w:lang w:val="en-US"/>
        </w:rPr>
        <w:t xml:space="preserve"> regulatory framework, and the establishment of a green finance market are creating attractive investment conditions.</w:t>
      </w:r>
    </w:p>
    <w:p w14:paraId="4309937A" w14:textId="616B8EDA" w:rsidR="00867314" w:rsidRPr="00FE5946" w:rsidRDefault="00867314" w:rsidP="00867314">
      <w:pPr>
        <w:spacing w:after="0" w:line="240" w:lineRule="auto"/>
        <w:ind w:firstLine="709"/>
        <w:jc w:val="both"/>
        <w:rPr>
          <w:sz w:val="24"/>
          <w:szCs w:val="24"/>
          <w:lang w:val="en-US"/>
        </w:rPr>
      </w:pPr>
    </w:p>
    <w:p w14:paraId="765431BC" w14:textId="77777777" w:rsidR="00867314" w:rsidRPr="00FE5946" w:rsidRDefault="00867314" w:rsidP="00867314">
      <w:pPr>
        <w:spacing w:after="0" w:line="240" w:lineRule="auto"/>
        <w:ind w:firstLine="709"/>
        <w:jc w:val="both"/>
        <w:rPr>
          <w:szCs w:val="24"/>
          <w:lang w:val="en-US"/>
        </w:rPr>
      </w:pPr>
    </w:p>
    <w:p w14:paraId="72E715D6" w14:textId="2434BBA7" w:rsidR="00B62BF5" w:rsidRPr="00170495" w:rsidRDefault="00550F24" w:rsidP="00625A42">
      <w:pPr>
        <w:pStyle w:val="10"/>
        <w:numPr>
          <w:ilvl w:val="0"/>
          <w:numId w:val="6"/>
        </w:numPr>
        <w:tabs>
          <w:tab w:val="left" w:pos="993"/>
        </w:tabs>
        <w:spacing w:before="0" w:line="240" w:lineRule="auto"/>
        <w:contextualSpacing/>
        <w:jc w:val="center"/>
        <w:rPr>
          <w:b/>
          <w:color w:val="auto"/>
          <w:sz w:val="24"/>
          <w:szCs w:val="24"/>
          <w:lang w:eastAsia="ru-RU"/>
        </w:rPr>
      </w:pPr>
      <w:bookmarkStart w:id="20" w:name="_Toc190447156"/>
      <w:r>
        <w:rPr>
          <w:b/>
          <w:color w:val="auto"/>
          <w:sz w:val="24"/>
          <w:szCs w:val="24"/>
          <w:lang w:val="en-US" w:eastAsia="ru-RU"/>
        </w:rPr>
        <w:t>Assessment of climate risks</w:t>
      </w:r>
      <w:bookmarkEnd w:id="20"/>
      <w:r>
        <w:rPr>
          <w:b/>
          <w:color w:val="auto"/>
          <w:sz w:val="24"/>
          <w:szCs w:val="24"/>
          <w:lang w:val="en-US" w:eastAsia="ru-RU"/>
        </w:rPr>
        <w:t xml:space="preserve"> </w:t>
      </w:r>
    </w:p>
    <w:p w14:paraId="263DBA97" w14:textId="77777777" w:rsidR="00170495" w:rsidRPr="00170495" w:rsidRDefault="00170495" w:rsidP="00170495">
      <w:pPr>
        <w:spacing w:after="0" w:line="240" w:lineRule="auto"/>
        <w:rPr>
          <w:b/>
          <w:bCs/>
          <w:spacing w:val="-4"/>
          <w:sz w:val="24"/>
          <w:szCs w:val="24"/>
          <w:lang w:eastAsia="ru-RU"/>
        </w:rPr>
      </w:pPr>
    </w:p>
    <w:p w14:paraId="292BF279" w14:textId="6DE38A10" w:rsidR="00170495" w:rsidRPr="00170495" w:rsidRDefault="00550F24" w:rsidP="00625A42">
      <w:pPr>
        <w:pStyle w:val="10"/>
        <w:numPr>
          <w:ilvl w:val="1"/>
          <w:numId w:val="6"/>
        </w:numPr>
        <w:spacing w:before="0" w:line="240" w:lineRule="auto"/>
        <w:ind w:left="0" w:firstLine="709"/>
        <w:rPr>
          <w:b/>
          <w:bCs/>
          <w:color w:val="auto"/>
          <w:spacing w:val="-4"/>
          <w:sz w:val="24"/>
          <w:szCs w:val="24"/>
          <w:lang w:eastAsia="ru-RU"/>
        </w:rPr>
      </w:pPr>
      <w:bookmarkStart w:id="21" w:name="_Toc190447157"/>
      <w:r>
        <w:rPr>
          <w:b/>
          <w:bCs/>
          <w:color w:val="auto"/>
          <w:spacing w:val="-4"/>
          <w:sz w:val="24"/>
          <w:szCs w:val="24"/>
          <w:lang w:val="en-US" w:eastAsia="ru-RU"/>
        </w:rPr>
        <w:t>General information</w:t>
      </w:r>
      <w:bookmarkEnd w:id="21"/>
      <w:r>
        <w:rPr>
          <w:b/>
          <w:bCs/>
          <w:color w:val="auto"/>
          <w:spacing w:val="-4"/>
          <w:sz w:val="24"/>
          <w:szCs w:val="24"/>
          <w:lang w:val="en-US" w:eastAsia="ru-RU"/>
        </w:rPr>
        <w:t xml:space="preserve"> </w:t>
      </w:r>
    </w:p>
    <w:p w14:paraId="77FD6E68" w14:textId="77777777" w:rsidR="00550F24" w:rsidRDefault="00550F24" w:rsidP="00550F24">
      <w:pPr>
        <w:pStyle w:val="a3"/>
        <w:spacing w:before="0" w:beforeAutospacing="0" w:after="0" w:afterAutospacing="0"/>
        <w:jc w:val="both"/>
        <w:rPr>
          <w:lang w:val="en-US"/>
        </w:rPr>
      </w:pPr>
    </w:p>
    <w:p w14:paraId="32A0980A" w14:textId="2A1B64F9" w:rsidR="00550F24" w:rsidRPr="00550F24" w:rsidRDefault="00550F24" w:rsidP="00550F24">
      <w:pPr>
        <w:pStyle w:val="a3"/>
        <w:spacing w:before="0" w:beforeAutospacing="0" w:after="0" w:afterAutospacing="0"/>
        <w:jc w:val="both"/>
        <w:rPr>
          <w:lang w:val="en-US"/>
        </w:rPr>
      </w:pPr>
      <w:r w:rsidRPr="00550F24">
        <w:rPr>
          <w:lang w:val="en-US"/>
        </w:rPr>
        <w:t>The Company places a strong emphasis on managing climate risks to ensure a reasonable level of assurance in achieving its strategic goals. "Samruk-Energy" JSC implements a comprehensive set of measures to address climate risks. Climate change risk assessments are integral to the development of the Company’s strategy, the evaluation of investment projects, and the formulation of both annual and medium-term plans.</w:t>
      </w:r>
    </w:p>
    <w:p w14:paraId="55F587CE" w14:textId="77777777" w:rsidR="00550F24" w:rsidRPr="00550F24" w:rsidRDefault="00550F24" w:rsidP="00550F24">
      <w:pPr>
        <w:pStyle w:val="a3"/>
        <w:spacing w:before="0" w:beforeAutospacing="0" w:after="0" w:afterAutospacing="0"/>
        <w:jc w:val="both"/>
        <w:rPr>
          <w:lang w:val="en-US"/>
        </w:rPr>
      </w:pPr>
      <w:r w:rsidRPr="00550F24">
        <w:rPr>
          <w:lang w:val="en-US"/>
        </w:rPr>
        <w:t>The financial implications of these risks, before mitigation measures are applied, include penalties for non-compliance with legislative requirements and the potential increase in tax rates on greenhouse gas emissions.</w:t>
      </w:r>
    </w:p>
    <w:p w14:paraId="4767D150" w14:textId="3020FDB0" w:rsidR="00550F24" w:rsidRPr="00550F24" w:rsidRDefault="00550F24" w:rsidP="00550F24">
      <w:pPr>
        <w:pStyle w:val="a3"/>
        <w:spacing w:before="0" w:beforeAutospacing="0" w:after="0" w:afterAutospacing="0"/>
        <w:jc w:val="both"/>
        <w:rPr>
          <w:lang w:val="en-US"/>
        </w:rPr>
      </w:pPr>
      <w:r w:rsidRPr="00550F24">
        <w:rPr>
          <w:lang w:val="en-US"/>
        </w:rPr>
        <w:t>As part of the Program’s scenario analysis, the Company has identified key physical climate risks, along with transitional climate risks. Environmental risks, however, are not included within the scope of this Program.</w:t>
      </w:r>
    </w:p>
    <w:p w14:paraId="2BA2F48A" w14:textId="77777777" w:rsidR="00170495" w:rsidRPr="00550F24" w:rsidRDefault="00170495" w:rsidP="009E60F1">
      <w:pPr>
        <w:pStyle w:val="Default"/>
        <w:ind w:firstLine="567"/>
        <w:jc w:val="both"/>
        <w:rPr>
          <w:rFonts w:ascii="Times New Roman" w:eastAsia="Times New Roman" w:hAnsi="Times New Roman" w:cs="Times New Roman"/>
          <w:color w:val="auto"/>
          <w:spacing w:val="-4"/>
          <w:lang w:val="en-US" w:eastAsia="ru-RU"/>
        </w:rPr>
      </w:pPr>
    </w:p>
    <w:p w14:paraId="258C2F92" w14:textId="6C370106" w:rsidR="007D6E75" w:rsidRPr="000359C5" w:rsidRDefault="00550F24" w:rsidP="00625A42">
      <w:pPr>
        <w:pStyle w:val="10"/>
        <w:numPr>
          <w:ilvl w:val="1"/>
          <w:numId w:val="6"/>
        </w:numPr>
        <w:spacing w:before="0" w:line="240" w:lineRule="auto"/>
        <w:ind w:left="0" w:firstLine="709"/>
        <w:rPr>
          <w:b/>
          <w:color w:val="auto"/>
          <w:sz w:val="24"/>
          <w:szCs w:val="24"/>
        </w:rPr>
      </w:pPr>
      <w:bookmarkStart w:id="22" w:name="_Toc190447158"/>
      <w:r>
        <w:rPr>
          <w:b/>
          <w:color w:val="auto"/>
          <w:sz w:val="24"/>
          <w:szCs w:val="24"/>
          <w:lang w:val="en-US"/>
        </w:rPr>
        <w:t>Physical climate risks</w:t>
      </w:r>
      <w:bookmarkEnd w:id="22"/>
      <w:r>
        <w:rPr>
          <w:b/>
          <w:color w:val="auto"/>
          <w:sz w:val="24"/>
          <w:szCs w:val="24"/>
          <w:lang w:val="en-US"/>
        </w:rPr>
        <w:t xml:space="preserve"> </w:t>
      </w:r>
    </w:p>
    <w:p w14:paraId="0E09BAED" w14:textId="77777777" w:rsidR="00170495" w:rsidRDefault="00170495" w:rsidP="009E60F1">
      <w:pPr>
        <w:pStyle w:val="ab"/>
        <w:tabs>
          <w:tab w:val="left" w:pos="175"/>
        </w:tabs>
        <w:ind w:left="0" w:firstLine="567"/>
        <w:rPr>
          <w:spacing w:val="-4"/>
          <w:szCs w:val="24"/>
        </w:rPr>
      </w:pPr>
    </w:p>
    <w:p w14:paraId="57494212" w14:textId="77777777" w:rsidR="00550F24" w:rsidRPr="00550F24" w:rsidRDefault="00550F24" w:rsidP="00773C77">
      <w:pPr>
        <w:pStyle w:val="Default"/>
        <w:ind w:firstLine="709"/>
        <w:jc w:val="both"/>
        <w:rPr>
          <w:rFonts w:ascii="Times New Roman" w:eastAsia="Times New Roman" w:hAnsi="Times New Roman" w:cs="Times New Roman"/>
          <w:color w:val="auto"/>
          <w:lang w:val="en-US" w:eastAsia="ru-RU"/>
        </w:rPr>
      </w:pPr>
      <w:r w:rsidRPr="00550F24">
        <w:rPr>
          <w:rFonts w:ascii="Times New Roman" w:eastAsia="Times New Roman" w:hAnsi="Times New Roman" w:cs="Times New Roman"/>
          <w:color w:val="auto"/>
          <w:lang w:val="en-US" w:eastAsia="ru-RU"/>
        </w:rPr>
        <w:t>These risks are associated with changes in weather and climate conditions, as well as other environmental factors that could impact equipment reliability and human health (including risks related to natural disasters). To manage these risks, the Company conducts assessments of the potential impacts of climate changes during the operation, design, and construction of facilities, as well as environmental monitoring across key parameters, to ensure timely decision-making and necessary actions.</w:t>
      </w:r>
    </w:p>
    <w:p w14:paraId="242F15A4" w14:textId="77777777" w:rsidR="007170B7" w:rsidRPr="007170B7" w:rsidRDefault="007170B7" w:rsidP="007170B7">
      <w:pPr>
        <w:spacing w:before="100" w:beforeAutospacing="1" w:after="100" w:afterAutospacing="1" w:line="240" w:lineRule="auto"/>
        <w:rPr>
          <w:sz w:val="24"/>
          <w:szCs w:val="24"/>
          <w:lang w:val="en-US" w:eastAsia="ru-RU"/>
        </w:rPr>
      </w:pPr>
      <w:r w:rsidRPr="007170B7">
        <w:rPr>
          <w:sz w:val="24"/>
          <w:szCs w:val="24"/>
          <w:lang w:val="en-US" w:eastAsia="ru-RU"/>
        </w:rPr>
        <w:t>The analysis identified the following categories of significant physical climate risks:</w:t>
      </w:r>
    </w:p>
    <w:p w14:paraId="3D5DFB76" w14:textId="77777777" w:rsidR="007170B7" w:rsidRPr="007170B7" w:rsidRDefault="007170B7" w:rsidP="007170B7">
      <w:pPr>
        <w:pStyle w:val="Default"/>
        <w:ind w:firstLine="709"/>
        <w:jc w:val="both"/>
        <w:rPr>
          <w:rFonts w:ascii="Times New Roman" w:hAnsi="Times New Roman" w:cs="Times New Roman"/>
          <w:i/>
          <w:iCs/>
          <w:spacing w:val="-6"/>
        </w:rPr>
      </w:pPr>
      <w:proofErr w:type="spellStart"/>
      <w:r w:rsidRPr="007170B7">
        <w:rPr>
          <w:rFonts w:ascii="Times New Roman" w:hAnsi="Times New Roman" w:cs="Times New Roman"/>
          <w:i/>
          <w:iCs/>
          <w:spacing w:val="-6"/>
        </w:rPr>
        <w:t>For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wind</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energy</w:t>
      </w:r>
      <w:proofErr w:type="spellEnd"/>
      <w:r w:rsidRPr="007170B7">
        <w:rPr>
          <w:rFonts w:ascii="Times New Roman" w:hAnsi="Times New Roman" w:cs="Times New Roman"/>
          <w:i/>
          <w:iCs/>
          <w:spacing w:val="-6"/>
        </w:rPr>
        <w:t>:</w:t>
      </w:r>
    </w:p>
    <w:p w14:paraId="5984B143" w14:textId="77777777" w:rsidR="007170B7" w:rsidRPr="00496AB3" w:rsidRDefault="007170B7" w:rsidP="00913EC5">
      <w:pPr>
        <w:pStyle w:val="Default"/>
        <w:numPr>
          <w:ilvl w:val="0"/>
          <w:numId w:val="36"/>
        </w:numPr>
        <w:jc w:val="both"/>
        <w:rPr>
          <w:rFonts w:ascii="Times New Roman" w:hAnsi="Times New Roman" w:cs="Times New Roman"/>
          <w:spacing w:val="-6"/>
          <w:lang w:val="en-US"/>
        </w:rPr>
      </w:pPr>
      <w:r w:rsidRPr="00496AB3">
        <w:rPr>
          <w:rFonts w:ascii="Times New Roman" w:hAnsi="Times New Roman" w:cs="Times New Roman"/>
          <w:spacing w:val="-6"/>
          <w:lang w:val="en-US"/>
        </w:rPr>
        <w:t>Low wind speed: Reduces electricity generation.</w:t>
      </w:r>
    </w:p>
    <w:p w14:paraId="5291378C" w14:textId="77777777" w:rsidR="007170B7" w:rsidRPr="007170B7" w:rsidRDefault="007170B7" w:rsidP="007170B7">
      <w:pPr>
        <w:pStyle w:val="Default"/>
        <w:ind w:firstLine="709"/>
        <w:jc w:val="both"/>
        <w:rPr>
          <w:rFonts w:ascii="Times New Roman" w:hAnsi="Times New Roman" w:cs="Times New Roman"/>
          <w:i/>
          <w:iCs/>
          <w:spacing w:val="-6"/>
        </w:rPr>
      </w:pPr>
      <w:proofErr w:type="spellStart"/>
      <w:r w:rsidRPr="007170B7">
        <w:rPr>
          <w:rFonts w:ascii="Times New Roman" w:hAnsi="Times New Roman" w:cs="Times New Roman"/>
          <w:i/>
          <w:iCs/>
          <w:spacing w:val="-6"/>
        </w:rPr>
        <w:t>For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solar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energy</w:t>
      </w:r>
      <w:proofErr w:type="spellEnd"/>
      <w:r w:rsidRPr="007170B7">
        <w:rPr>
          <w:rFonts w:ascii="Times New Roman" w:hAnsi="Times New Roman" w:cs="Times New Roman"/>
          <w:i/>
          <w:iCs/>
          <w:spacing w:val="-6"/>
        </w:rPr>
        <w:t>:</w:t>
      </w:r>
    </w:p>
    <w:p w14:paraId="280CD864" w14:textId="77777777" w:rsidR="007170B7" w:rsidRPr="00496AB3" w:rsidRDefault="007170B7" w:rsidP="00913EC5">
      <w:pPr>
        <w:pStyle w:val="Default"/>
        <w:numPr>
          <w:ilvl w:val="0"/>
          <w:numId w:val="36"/>
        </w:numPr>
        <w:jc w:val="both"/>
        <w:rPr>
          <w:rFonts w:ascii="Times New Roman" w:hAnsi="Times New Roman" w:cs="Times New Roman"/>
          <w:spacing w:val="-6"/>
          <w:lang w:val="en-US"/>
        </w:rPr>
      </w:pPr>
      <w:r w:rsidRPr="00496AB3">
        <w:rPr>
          <w:rFonts w:ascii="Times New Roman" w:hAnsi="Times New Roman" w:cs="Times New Roman"/>
          <w:b/>
          <w:bCs/>
          <w:spacing w:val="-6"/>
          <w:lang w:val="en-US"/>
        </w:rPr>
        <w:t>Cloud cover and precipitation</w:t>
      </w:r>
      <w:r w:rsidRPr="00496AB3">
        <w:rPr>
          <w:rFonts w:ascii="Times New Roman" w:hAnsi="Times New Roman" w:cs="Times New Roman"/>
          <w:spacing w:val="-6"/>
          <w:lang w:val="en-US"/>
        </w:rPr>
        <w:t>: Decrease the efficiency of solar panels.</w:t>
      </w:r>
    </w:p>
    <w:p w14:paraId="0FD648B3" w14:textId="77777777" w:rsidR="007170B7" w:rsidRPr="007170B7" w:rsidRDefault="007170B7" w:rsidP="007170B7">
      <w:pPr>
        <w:pStyle w:val="Default"/>
        <w:ind w:firstLine="709"/>
        <w:jc w:val="both"/>
        <w:rPr>
          <w:rFonts w:ascii="Times New Roman" w:hAnsi="Times New Roman" w:cs="Times New Roman"/>
          <w:i/>
          <w:iCs/>
          <w:spacing w:val="-6"/>
        </w:rPr>
      </w:pPr>
      <w:proofErr w:type="spellStart"/>
      <w:r w:rsidRPr="007170B7">
        <w:rPr>
          <w:rFonts w:ascii="Times New Roman" w:hAnsi="Times New Roman" w:cs="Times New Roman"/>
          <w:i/>
          <w:iCs/>
          <w:spacing w:val="-6"/>
        </w:rPr>
        <w:t>For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hydropower</w:t>
      </w:r>
      <w:proofErr w:type="spellEnd"/>
      <w:r w:rsidRPr="007170B7">
        <w:rPr>
          <w:rFonts w:ascii="Times New Roman" w:hAnsi="Times New Roman" w:cs="Times New Roman"/>
          <w:i/>
          <w:iCs/>
          <w:spacing w:val="-6"/>
        </w:rPr>
        <w:t>:</w:t>
      </w:r>
    </w:p>
    <w:p w14:paraId="2AAFC2BC" w14:textId="77777777" w:rsidR="007170B7" w:rsidRPr="00496AB3" w:rsidRDefault="007170B7" w:rsidP="00913EC5">
      <w:pPr>
        <w:pStyle w:val="Default"/>
        <w:numPr>
          <w:ilvl w:val="0"/>
          <w:numId w:val="36"/>
        </w:numPr>
        <w:jc w:val="both"/>
        <w:rPr>
          <w:rFonts w:ascii="Times New Roman" w:hAnsi="Times New Roman" w:cs="Times New Roman"/>
          <w:spacing w:val="-6"/>
          <w:lang w:val="en-US"/>
        </w:rPr>
      </w:pPr>
      <w:r w:rsidRPr="00496AB3">
        <w:rPr>
          <w:rFonts w:ascii="Times New Roman" w:hAnsi="Times New Roman" w:cs="Times New Roman"/>
          <w:b/>
          <w:bCs/>
          <w:spacing w:val="-6"/>
          <w:lang w:val="en-US"/>
        </w:rPr>
        <w:t>Precipitation:</w:t>
      </w:r>
      <w:r w:rsidRPr="00496AB3">
        <w:rPr>
          <w:rFonts w:ascii="Times New Roman" w:hAnsi="Times New Roman" w:cs="Times New Roman"/>
          <w:spacing w:val="-6"/>
          <w:lang w:val="en-US"/>
        </w:rPr>
        <w:t xml:space="preserve"> Uneven rainfall leads to fluctuations in reservoir levels, potentially reducing electricity generation.</w:t>
      </w:r>
    </w:p>
    <w:p w14:paraId="33CE799E" w14:textId="77777777" w:rsidR="007170B7" w:rsidRPr="00496AB3" w:rsidRDefault="007170B7" w:rsidP="00913EC5">
      <w:pPr>
        <w:pStyle w:val="Default"/>
        <w:numPr>
          <w:ilvl w:val="0"/>
          <w:numId w:val="36"/>
        </w:numPr>
        <w:jc w:val="both"/>
        <w:rPr>
          <w:rFonts w:ascii="Times New Roman" w:hAnsi="Times New Roman" w:cs="Times New Roman"/>
          <w:spacing w:val="-6"/>
          <w:lang w:val="en-US"/>
        </w:rPr>
      </w:pPr>
      <w:r w:rsidRPr="00496AB3">
        <w:rPr>
          <w:rFonts w:ascii="Times New Roman" w:hAnsi="Times New Roman" w:cs="Times New Roman"/>
          <w:b/>
          <w:bCs/>
          <w:spacing w:val="-6"/>
          <w:lang w:val="en-US"/>
        </w:rPr>
        <w:t>Temperature:</w:t>
      </w:r>
      <w:r w:rsidRPr="00496AB3">
        <w:rPr>
          <w:rFonts w:ascii="Times New Roman" w:hAnsi="Times New Roman" w:cs="Times New Roman"/>
          <w:spacing w:val="-6"/>
          <w:lang w:val="en-US"/>
        </w:rPr>
        <w:t xml:space="preserve"> Low temperatures may freeze water bodies, while high temperatures increase evaporation.</w:t>
      </w:r>
    </w:p>
    <w:p w14:paraId="131C7BA4" w14:textId="77777777" w:rsidR="007170B7" w:rsidRPr="00496AB3" w:rsidRDefault="007170B7" w:rsidP="00913EC5">
      <w:pPr>
        <w:pStyle w:val="Default"/>
        <w:numPr>
          <w:ilvl w:val="0"/>
          <w:numId w:val="36"/>
        </w:numPr>
        <w:jc w:val="both"/>
        <w:rPr>
          <w:rFonts w:ascii="Times New Roman" w:hAnsi="Times New Roman" w:cs="Times New Roman"/>
          <w:spacing w:val="-6"/>
          <w:lang w:val="en-US"/>
        </w:rPr>
      </w:pPr>
      <w:r w:rsidRPr="00496AB3">
        <w:rPr>
          <w:rFonts w:ascii="Times New Roman" w:hAnsi="Times New Roman" w:cs="Times New Roman"/>
          <w:b/>
          <w:bCs/>
          <w:spacing w:val="-6"/>
          <w:lang w:val="en-US"/>
        </w:rPr>
        <w:t>Wind:</w:t>
      </w:r>
      <w:r w:rsidRPr="00496AB3">
        <w:rPr>
          <w:rFonts w:ascii="Times New Roman" w:hAnsi="Times New Roman" w:cs="Times New Roman"/>
          <w:spacing w:val="-6"/>
          <w:lang w:val="en-US"/>
        </w:rPr>
        <w:t xml:space="preserve"> Enhances water evaporation from reservoirs.</w:t>
      </w:r>
    </w:p>
    <w:p w14:paraId="46C002DE" w14:textId="216E18E3" w:rsidR="007170B7" w:rsidRPr="007170B7" w:rsidRDefault="007170B7" w:rsidP="007170B7">
      <w:pPr>
        <w:pStyle w:val="Default"/>
        <w:ind w:firstLine="709"/>
        <w:jc w:val="both"/>
        <w:rPr>
          <w:rFonts w:ascii="Times New Roman" w:hAnsi="Times New Roman" w:cs="Times New Roman"/>
          <w:i/>
          <w:iCs/>
          <w:spacing w:val="-6"/>
        </w:rPr>
      </w:pPr>
      <w:r w:rsidRPr="007170B7">
        <w:rPr>
          <w:rFonts w:ascii="Times New Roman" w:hAnsi="Times New Roman" w:cs="Times New Roman"/>
          <w:i/>
          <w:iCs/>
          <w:spacing w:val="-6"/>
        </w:rPr>
        <w:t xml:space="preserve">For </w:t>
      </w:r>
      <w:r w:rsidR="00913EC5" w:rsidRPr="00913EC5">
        <w:rPr>
          <w:rFonts w:ascii="Times New Roman" w:hAnsi="Times New Roman" w:cs="Times New Roman"/>
          <w:i/>
          <w:iCs/>
          <w:spacing w:val="-6"/>
          <w:lang w:val="en-US"/>
        </w:rPr>
        <w:t xml:space="preserve">conventional energy </w:t>
      </w:r>
      <w:r w:rsidRPr="007170B7">
        <w:rPr>
          <w:rFonts w:ascii="Times New Roman" w:hAnsi="Times New Roman" w:cs="Times New Roman"/>
          <w:i/>
          <w:iCs/>
          <w:spacing w:val="-6"/>
        </w:rPr>
        <w:t xml:space="preserve"> (TPP):</w:t>
      </w:r>
    </w:p>
    <w:p w14:paraId="4F3AD2A4" w14:textId="2DD4A379" w:rsidR="007170B7" w:rsidRPr="00496AB3" w:rsidRDefault="007170B7" w:rsidP="00913EC5">
      <w:pPr>
        <w:pStyle w:val="Default"/>
        <w:numPr>
          <w:ilvl w:val="0"/>
          <w:numId w:val="37"/>
        </w:numPr>
        <w:jc w:val="both"/>
        <w:rPr>
          <w:rFonts w:ascii="Times New Roman" w:hAnsi="Times New Roman" w:cs="Times New Roman"/>
          <w:spacing w:val="-6"/>
          <w:lang w:val="en-US"/>
        </w:rPr>
      </w:pPr>
      <w:r w:rsidRPr="00496AB3">
        <w:rPr>
          <w:rFonts w:ascii="Times New Roman" w:hAnsi="Times New Roman" w:cs="Times New Roman"/>
          <w:b/>
          <w:bCs/>
          <w:spacing w:val="-6"/>
          <w:lang w:val="en-US"/>
        </w:rPr>
        <w:t>Temperature:</w:t>
      </w:r>
      <w:r w:rsidRPr="00496AB3">
        <w:rPr>
          <w:rFonts w:ascii="Times New Roman" w:hAnsi="Times New Roman" w:cs="Times New Roman"/>
          <w:spacing w:val="-6"/>
          <w:lang w:val="en-US"/>
        </w:rPr>
        <w:t xml:space="preserve"> High temperatures risk equipment overheating, while low temperatures increase the demand for </w:t>
      </w:r>
      <w:r w:rsidR="00496AB3">
        <w:rPr>
          <w:rFonts w:ascii="Times New Roman" w:hAnsi="Times New Roman" w:cs="Times New Roman"/>
          <w:spacing w:val="-6"/>
          <w:lang w:val="en-US"/>
        </w:rPr>
        <w:t>heat.</w:t>
      </w:r>
    </w:p>
    <w:p w14:paraId="1EAFCF2C" w14:textId="77777777" w:rsidR="007170B7" w:rsidRPr="007170B7" w:rsidRDefault="007170B7" w:rsidP="007170B7">
      <w:pPr>
        <w:pStyle w:val="Default"/>
        <w:ind w:firstLine="709"/>
        <w:jc w:val="both"/>
        <w:rPr>
          <w:rFonts w:ascii="Times New Roman" w:hAnsi="Times New Roman" w:cs="Times New Roman"/>
          <w:i/>
          <w:iCs/>
          <w:spacing w:val="-6"/>
        </w:rPr>
      </w:pPr>
      <w:proofErr w:type="spellStart"/>
      <w:r w:rsidRPr="007170B7">
        <w:rPr>
          <w:rFonts w:ascii="Times New Roman" w:hAnsi="Times New Roman" w:cs="Times New Roman"/>
          <w:i/>
          <w:iCs/>
          <w:spacing w:val="-6"/>
        </w:rPr>
        <w:t>For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coal</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mining</w:t>
      </w:r>
      <w:proofErr w:type="spellEnd"/>
      <w:r w:rsidRPr="007170B7">
        <w:rPr>
          <w:rFonts w:ascii="Times New Roman" w:hAnsi="Times New Roman" w:cs="Times New Roman"/>
          <w:i/>
          <w:iCs/>
          <w:spacing w:val="-6"/>
        </w:rPr>
        <w:t>:</w:t>
      </w:r>
    </w:p>
    <w:p w14:paraId="59AB8C8C" w14:textId="77777777" w:rsidR="007170B7" w:rsidRPr="00496AB3" w:rsidRDefault="007170B7" w:rsidP="00913EC5">
      <w:pPr>
        <w:pStyle w:val="Default"/>
        <w:numPr>
          <w:ilvl w:val="0"/>
          <w:numId w:val="37"/>
        </w:numPr>
        <w:jc w:val="both"/>
        <w:rPr>
          <w:rFonts w:ascii="Times New Roman" w:hAnsi="Times New Roman" w:cs="Times New Roman"/>
          <w:spacing w:val="-6"/>
          <w:lang w:val="en-US"/>
        </w:rPr>
      </w:pPr>
      <w:r w:rsidRPr="00496AB3">
        <w:rPr>
          <w:rFonts w:ascii="Times New Roman" w:hAnsi="Times New Roman" w:cs="Times New Roman"/>
          <w:b/>
          <w:bCs/>
          <w:spacing w:val="-6"/>
          <w:lang w:val="en-US"/>
        </w:rPr>
        <w:t>Temperature:</w:t>
      </w:r>
      <w:r w:rsidRPr="00496AB3">
        <w:rPr>
          <w:rFonts w:ascii="Times New Roman" w:hAnsi="Times New Roman" w:cs="Times New Roman"/>
          <w:spacing w:val="-6"/>
          <w:lang w:val="en-US"/>
        </w:rPr>
        <w:t xml:space="preserve"> Low temperatures complicate coal extraction and transportation.</w:t>
      </w:r>
    </w:p>
    <w:p w14:paraId="253BAE3A" w14:textId="77777777" w:rsidR="007170B7" w:rsidRPr="007170B7" w:rsidRDefault="007170B7" w:rsidP="007170B7">
      <w:pPr>
        <w:pStyle w:val="Default"/>
        <w:ind w:firstLine="709"/>
        <w:jc w:val="both"/>
        <w:rPr>
          <w:rFonts w:ascii="Times New Roman" w:hAnsi="Times New Roman" w:cs="Times New Roman"/>
          <w:i/>
          <w:iCs/>
          <w:spacing w:val="-6"/>
        </w:rPr>
      </w:pPr>
      <w:proofErr w:type="spellStart"/>
      <w:r w:rsidRPr="007170B7">
        <w:rPr>
          <w:rFonts w:ascii="Times New Roman" w:hAnsi="Times New Roman" w:cs="Times New Roman"/>
          <w:i/>
          <w:iCs/>
          <w:spacing w:val="-6"/>
        </w:rPr>
        <w:t>For</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overall</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energy</w:t>
      </w:r>
      <w:proofErr w:type="spellEnd"/>
      <w:r w:rsidRPr="007170B7">
        <w:rPr>
          <w:rFonts w:ascii="Times New Roman" w:hAnsi="Times New Roman" w:cs="Times New Roman"/>
          <w:i/>
          <w:iCs/>
          <w:spacing w:val="-6"/>
        </w:rPr>
        <w:t xml:space="preserve"> </w:t>
      </w:r>
      <w:proofErr w:type="spellStart"/>
      <w:r w:rsidRPr="007170B7">
        <w:rPr>
          <w:rFonts w:ascii="Times New Roman" w:hAnsi="Times New Roman" w:cs="Times New Roman"/>
          <w:i/>
          <w:iCs/>
          <w:spacing w:val="-6"/>
        </w:rPr>
        <w:t>infrastructure</w:t>
      </w:r>
      <w:proofErr w:type="spellEnd"/>
      <w:r w:rsidRPr="007170B7">
        <w:rPr>
          <w:rFonts w:ascii="Times New Roman" w:hAnsi="Times New Roman" w:cs="Times New Roman"/>
          <w:i/>
          <w:iCs/>
          <w:spacing w:val="-6"/>
        </w:rPr>
        <w:t>:</w:t>
      </w:r>
    </w:p>
    <w:p w14:paraId="7D97B8F7" w14:textId="77777777" w:rsidR="007170B7" w:rsidRPr="00496AB3" w:rsidRDefault="007170B7" w:rsidP="00913EC5">
      <w:pPr>
        <w:pStyle w:val="Default"/>
        <w:numPr>
          <w:ilvl w:val="0"/>
          <w:numId w:val="37"/>
        </w:numPr>
        <w:jc w:val="both"/>
        <w:rPr>
          <w:rFonts w:ascii="Times New Roman" w:hAnsi="Times New Roman" w:cs="Times New Roman"/>
          <w:spacing w:val="-6"/>
          <w:lang w:val="en-US"/>
        </w:rPr>
      </w:pPr>
      <w:r w:rsidRPr="00496AB3">
        <w:rPr>
          <w:rFonts w:ascii="Times New Roman" w:hAnsi="Times New Roman" w:cs="Times New Roman"/>
          <w:b/>
          <w:bCs/>
          <w:spacing w:val="-6"/>
          <w:lang w:val="en-US"/>
        </w:rPr>
        <w:t>Precipitation:</w:t>
      </w:r>
      <w:r w:rsidRPr="00496AB3">
        <w:rPr>
          <w:rFonts w:ascii="Times New Roman" w:hAnsi="Times New Roman" w:cs="Times New Roman"/>
          <w:spacing w:val="-6"/>
          <w:lang w:val="en-US"/>
        </w:rPr>
        <w:t xml:space="preserve"> Damages power lines, roads, and other infrastructure. Extreme weather events (hurricanes, floods, severe frosts) may damage transmission lines, substations, and other infrastructure elements.</w:t>
      </w:r>
    </w:p>
    <w:p w14:paraId="409FCA06" w14:textId="77777777" w:rsidR="007170B7" w:rsidRPr="007170B7" w:rsidRDefault="007170B7" w:rsidP="007170B7">
      <w:pPr>
        <w:pStyle w:val="Default"/>
        <w:ind w:firstLine="709"/>
        <w:jc w:val="both"/>
        <w:rPr>
          <w:rFonts w:ascii="Times New Roman" w:hAnsi="Times New Roman" w:cs="Times New Roman"/>
          <w:b/>
          <w:bCs/>
          <w:spacing w:val="-6"/>
          <w:lang w:val="en-US"/>
        </w:rPr>
      </w:pPr>
      <w:r w:rsidRPr="007170B7">
        <w:rPr>
          <w:rFonts w:ascii="Times New Roman" w:hAnsi="Times New Roman" w:cs="Times New Roman"/>
          <w:b/>
          <w:bCs/>
          <w:spacing w:val="-6"/>
          <w:lang w:val="en-US"/>
        </w:rPr>
        <w:t>Impact on the Program:</w:t>
      </w:r>
    </w:p>
    <w:p w14:paraId="4D163068" w14:textId="70073276" w:rsidR="007170B7" w:rsidRPr="007170B7" w:rsidRDefault="007170B7" w:rsidP="00913EC5">
      <w:pPr>
        <w:pStyle w:val="Default"/>
        <w:numPr>
          <w:ilvl w:val="0"/>
          <w:numId w:val="38"/>
        </w:numPr>
        <w:jc w:val="both"/>
        <w:rPr>
          <w:rFonts w:ascii="Times New Roman" w:hAnsi="Times New Roman" w:cs="Times New Roman"/>
          <w:spacing w:val="-6"/>
          <w:lang w:val="en-US"/>
        </w:rPr>
      </w:pPr>
      <w:r w:rsidRPr="007170B7">
        <w:rPr>
          <w:rFonts w:ascii="Times New Roman" w:hAnsi="Times New Roman" w:cs="Times New Roman"/>
          <w:spacing w:val="-6"/>
          <w:lang w:val="en-US"/>
        </w:rPr>
        <w:t>Elec</w:t>
      </w:r>
      <w:r w:rsidR="005E637E">
        <w:rPr>
          <w:rFonts w:ascii="Times New Roman" w:hAnsi="Times New Roman" w:cs="Times New Roman"/>
          <w:spacing w:val="-6"/>
          <w:lang w:val="en-US"/>
        </w:rPr>
        <w:t>tricity generation instability</w:t>
      </w:r>
    </w:p>
    <w:p w14:paraId="674BD2A8" w14:textId="7B529069" w:rsidR="007170B7" w:rsidRPr="007170B7" w:rsidRDefault="007170B7" w:rsidP="00913EC5">
      <w:pPr>
        <w:pStyle w:val="Default"/>
        <w:numPr>
          <w:ilvl w:val="0"/>
          <w:numId w:val="38"/>
        </w:numPr>
        <w:jc w:val="both"/>
        <w:rPr>
          <w:rFonts w:ascii="Times New Roman" w:hAnsi="Times New Roman" w:cs="Times New Roman"/>
          <w:spacing w:val="-6"/>
          <w:lang w:val="en-US"/>
        </w:rPr>
      </w:pPr>
      <w:r w:rsidRPr="007170B7">
        <w:rPr>
          <w:rFonts w:ascii="Times New Roman" w:hAnsi="Times New Roman" w:cs="Times New Roman"/>
          <w:spacing w:val="-6"/>
          <w:lang w:val="en-US"/>
        </w:rPr>
        <w:t>Cost esca</w:t>
      </w:r>
      <w:r w:rsidR="005E637E">
        <w:rPr>
          <w:rFonts w:ascii="Times New Roman" w:hAnsi="Times New Roman" w:cs="Times New Roman"/>
          <w:spacing w:val="-6"/>
          <w:lang w:val="en-US"/>
        </w:rPr>
        <w:t>lation</w:t>
      </w:r>
    </w:p>
    <w:p w14:paraId="62DD5ECE" w14:textId="7A4DC7D7" w:rsidR="007170B7" w:rsidRPr="007170B7" w:rsidRDefault="005E637E" w:rsidP="00913EC5">
      <w:pPr>
        <w:pStyle w:val="Default"/>
        <w:numPr>
          <w:ilvl w:val="0"/>
          <w:numId w:val="38"/>
        </w:numPr>
        <w:jc w:val="both"/>
        <w:rPr>
          <w:rFonts w:ascii="Times New Roman" w:hAnsi="Times New Roman" w:cs="Times New Roman"/>
          <w:spacing w:val="-6"/>
          <w:lang w:val="en-US"/>
        </w:rPr>
      </w:pPr>
      <w:r>
        <w:rPr>
          <w:rFonts w:ascii="Times New Roman" w:hAnsi="Times New Roman" w:cs="Times New Roman"/>
          <w:spacing w:val="-6"/>
          <w:lang w:val="en-US"/>
        </w:rPr>
        <w:t>Increased risk of accidents</w:t>
      </w:r>
    </w:p>
    <w:p w14:paraId="15AF07ED" w14:textId="45851E56" w:rsidR="005E637E" w:rsidRDefault="007170B7" w:rsidP="005E637E">
      <w:pPr>
        <w:pStyle w:val="Default"/>
        <w:numPr>
          <w:ilvl w:val="0"/>
          <w:numId w:val="38"/>
        </w:numPr>
        <w:jc w:val="both"/>
        <w:rPr>
          <w:rFonts w:ascii="Times New Roman" w:hAnsi="Times New Roman" w:cs="Times New Roman"/>
          <w:spacing w:val="-6"/>
          <w:lang w:val="en-US"/>
        </w:rPr>
      </w:pPr>
      <w:r w:rsidRPr="005E637E">
        <w:rPr>
          <w:rFonts w:ascii="Times New Roman" w:hAnsi="Times New Roman" w:cs="Times New Roman"/>
          <w:spacing w:val="-6"/>
          <w:lang w:val="en-US"/>
        </w:rPr>
        <w:t>Reduced en</w:t>
      </w:r>
      <w:r w:rsidR="005E637E">
        <w:rPr>
          <w:rFonts w:ascii="Times New Roman" w:hAnsi="Times New Roman" w:cs="Times New Roman"/>
          <w:spacing w:val="-6"/>
          <w:lang w:val="en-US"/>
        </w:rPr>
        <w:t>ergy system efficiency</w:t>
      </w:r>
    </w:p>
    <w:p w14:paraId="2AD79EA1" w14:textId="4026EC94" w:rsidR="007170B7" w:rsidRPr="005E637E" w:rsidRDefault="005E637E" w:rsidP="005E637E">
      <w:pPr>
        <w:pStyle w:val="Default"/>
        <w:jc w:val="both"/>
        <w:rPr>
          <w:rFonts w:ascii="Times New Roman" w:hAnsi="Times New Roman" w:cs="Times New Roman"/>
          <w:spacing w:val="-6"/>
          <w:lang w:val="en-US"/>
        </w:rPr>
      </w:pPr>
      <w:r w:rsidRPr="005E637E">
        <w:rPr>
          <w:rFonts w:ascii="Times New Roman" w:hAnsi="Times New Roman" w:cs="Times New Roman"/>
          <w:spacing w:val="-6"/>
          <w:lang w:val="en-US"/>
        </w:rPr>
        <w:t xml:space="preserve">             </w:t>
      </w:r>
      <w:r w:rsidR="007170B7" w:rsidRPr="005E637E">
        <w:rPr>
          <w:rFonts w:ascii="Times New Roman" w:hAnsi="Times New Roman" w:cs="Times New Roman"/>
          <w:spacing w:val="-6"/>
          <w:lang w:val="en-US"/>
        </w:rPr>
        <w:t>To mitigate the negative effects of climate change, adaptation measures should be developed and implemented, such as creating backup energy sources, modernizing energy equipment, and enhancing forecasting and disaster prevention systems.</w:t>
      </w:r>
    </w:p>
    <w:p w14:paraId="51096BA9" w14:textId="77777777" w:rsidR="00550F24" w:rsidRPr="001C5BD8" w:rsidRDefault="00550F24" w:rsidP="00773C77">
      <w:pPr>
        <w:pStyle w:val="Default"/>
        <w:ind w:firstLine="709"/>
        <w:jc w:val="both"/>
        <w:rPr>
          <w:rFonts w:ascii="Times New Roman" w:hAnsi="Times New Roman" w:cs="Times New Roman"/>
          <w:spacing w:val="-6"/>
          <w:lang w:val="en-US"/>
        </w:rPr>
      </w:pPr>
    </w:p>
    <w:p w14:paraId="5685DD76" w14:textId="2CA6B3E2" w:rsidR="00913EC5" w:rsidRPr="00913EC5" w:rsidRDefault="005E637E" w:rsidP="00913EC5">
      <w:pPr>
        <w:pStyle w:val="a3"/>
        <w:rPr>
          <w:lang w:val="en-US"/>
        </w:rPr>
      </w:pPr>
      <w:r w:rsidRPr="005E637E">
        <w:rPr>
          <w:rStyle w:val="af5"/>
          <w:lang w:val="en-US"/>
        </w:rPr>
        <w:t xml:space="preserve">             </w:t>
      </w:r>
      <w:r w:rsidR="00913EC5" w:rsidRPr="00913EC5">
        <w:rPr>
          <w:rStyle w:val="af5"/>
          <w:lang w:val="en-US"/>
        </w:rPr>
        <w:t xml:space="preserve">6.3. Climate </w:t>
      </w:r>
      <w:r w:rsidR="00913EC5">
        <w:rPr>
          <w:rStyle w:val="af5"/>
          <w:lang w:val="en-US"/>
        </w:rPr>
        <w:t>t</w:t>
      </w:r>
      <w:r w:rsidR="00913EC5" w:rsidRPr="00913EC5">
        <w:rPr>
          <w:rStyle w:val="af5"/>
          <w:lang w:val="en-US"/>
        </w:rPr>
        <w:t xml:space="preserve">ransition </w:t>
      </w:r>
      <w:r w:rsidR="00913EC5">
        <w:rPr>
          <w:rStyle w:val="af5"/>
          <w:lang w:val="en-US"/>
        </w:rPr>
        <w:t>r</w:t>
      </w:r>
      <w:r w:rsidR="00913EC5" w:rsidRPr="00913EC5">
        <w:rPr>
          <w:rStyle w:val="af5"/>
          <w:lang w:val="en-US"/>
        </w:rPr>
        <w:t>isks</w:t>
      </w:r>
    </w:p>
    <w:p w14:paraId="688DE928" w14:textId="14E1DD51" w:rsidR="00913EC5" w:rsidRPr="00913EC5" w:rsidRDefault="005E637E" w:rsidP="00913EC5">
      <w:pPr>
        <w:pStyle w:val="a3"/>
        <w:rPr>
          <w:lang w:val="en-US"/>
        </w:rPr>
      </w:pPr>
      <w:r w:rsidRPr="00BC0393">
        <w:rPr>
          <w:rStyle w:val="af5"/>
          <w:lang w:val="en-US"/>
        </w:rPr>
        <w:t xml:space="preserve">             </w:t>
      </w:r>
      <w:r w:rsidR="00913EC5" w:rsidRPr="00913EC5">
        <w:rPr>
          <w:rStyle w:val="af5"/>
          <w:lang w:val="en-US"/>
        </w:rPr>
        <w:t xml:space="preserve">6.3.1. Political, </w:t>
      </w:r>
      <w:r w:rsidR="00913EC5">
        <w:rPr>
          <w:rStyle w:val="af5"/>
          <w:lang w:val="en-US"/>
        </w:rPr>
        <w:t>l</w:t>
      </w:r>
      <w:r w:rsidR="00913EC5" w:rsidRPr="00913EC5">
        <w:rPr>
          <w:rStyle w:val="af5"/>
          <w:lang w:val="en-US"/>
        </w:rPr>
        <w:t xml:space="preserve">egal, and </w:t>
      </w:r>
      <w:r w:rsidR="00913EC5">
        <w:rPr>
          <w:rStyle w:val="af5"/>
          <w:lang w:val="en-US"/>
        </w:rPr>
        <w:t>r</w:t>
      </w:r>
      <w:r w:rsidR="00913EC5" w:rsidRPr="00913EC5">
        <w:rPr>
          <w:rStyle w:val="af5"/>
          <w:lang w:val="en-US"/>
        </w:rPr>
        <w:t xml:space="preserve">egulatory </w:t>
      </w:r>
      <w:r w:rsidR="00913EC5">
        <w:rPr>
          <w:rStyle w:val="af5"/>
          <w:lang w:val="en-US"/>
        </w:rPr>
        <w:t>r</w:t>
      </w:r>
      <w:r w:rsidR="00913EC5" w:rsidRPr="00913EC5">
        <w:rPr>
          <w:rStyle w:val="af5"/>
          <w:lang w:val="en-US"/>
        </w:rPr>
        <w:t>isks:</w:t>
      </w:r>
    </w:p>
    <w:p w14:paraId="00F279E1" w14:textId="3CB17A2B" w:rsidR="005E637E" w:rsidRDefault="0083464C" w:rsidP="005E637E">
      <w:pPr>
        <w:pStyle w:val="Default"/>
        <w:jc w:val="both"/>
        <w:rPr>
          <w:rFonts w:ascii="Times New Roman" w:hAnsi="Times New Roman" w:cs="Times New Roman"/>
          <w:i/>
          <w:spacing w:val="-6"/>
          <w:lang w:val="en-US"/>
        </w:rPr>
      </w:pPr>
      <w:r>
        <w:rPr>
          <w:rFonts w:ascii="Times New Roman" w:hAnsi="Times New Roman" w:cs="Times New Roman"/>
          <w:i/>
          <w:spacing w:val="-6"/>
          <w:lang w:val="en-US"/>
        </w:rPr>
        <w:t xml:space="preserve">        </w:t>
      </w:r>
      <w:r w:rsidR="005E637E" w:rsidRPr="005E637E">
        <w:rPr>
          <w:rFonts w:ascii="Times New Roman" w:hAnsi="Times New Roman" w:cs="Times New Roman"/>
          <w:i/>
          <w:spacing w:val="-6"/>
          <w:lang w:val="en-US"/>
        </w:rPr>
        <w:t xml:space="preserve">1) </w:t>
      </w:r>
      <w:r w:rsidR="00913EC5" w:rsidRPr="005E637E">
        <w:rPr>
          <w:rFonts w:ascii="Times New Roman" w:hAnsi="Times New Roman" w:cs="Times New Roman"/>
          <w:i/>
          <w:spacing w:val="-6"/>
          <w:lang w:val="en-US"/>
        </w:rPr>
        <w:t>Tightening of international climate policies:</w:t>
      </w:r>
    </w:p>
    <w:p w14:paraId="390BA99B" w14:textId="3ACEE84A" w:rsidR="0083464C" w:rsidRPr="00BC0393" w:rsidRDefault="0083464C" w:rsidP="005E637E">
      <w:pPr>
        <w:pStyle w:val="Default"/>
        <w:jc w:val="both"/>
        <w:rPr>
          <w:rFonts w:ascii="Times New Roman" w:hAnsi="Times New Roman" w:cs="Times New Roman"/>
          <w:spacing w:val="-6"/>
          <w:lang w:val="en-US"/>
        </w:rPr>
      </w:pPr>
      <w:r w:rsidRPr="00BC0393">
        <w:rPr>
          <w:rFonts w:ascii="Times New Roman" w:hAnsi="Times New Roman" w:cs="Times New Roman"/>
          <w:i/>
          <w:spacing w:val="-6"/>
          <w:lang w:val="en-US"/>
        </w:rPr>
        <w:t xml:space="preserve">       </w:t>
      </w:r>
      <w:r w:rsidR="00BC0393" w:rsidRPr="00BC0393">
        <w:rPr>
          <w:rStyle w:val="s0"/>
          <w:spacing w:val="-4"/>
          <w:sz w:val="24"/>
          <w:szCs w:val="24"/>
          <w:lang w:val="en-US"/>
        </w:rPr>
        <w:t xml:space="preserve">The implementation of CBAM provides for the sale of certificates by a specially designated authorized body for imported carbon-intensive goods to the EU, based on an established list. The EU's cross-border carbon tax will be introduced gradually: starting in 2023, producers will be required to report the carbon footprint of their products, and from 2026, they will be </w:t>
      </w:r>
      <w:r w:rsidR="00BC0393">
        <w:rPr>
          <w:rStyle w:val="s0"/>
          <w:spacing w:val="-4"/>
          <w:sz w:val="24"/>
          <w:szCs w:val="24"/>
          <w:lang w:val="en-US"/>
        </w:rPr>
        <w:t xml:space="preserve">required </w:t>
      </w:r>
      <w:proofErr w:type="spellStart"/>
      <w:r w:rsidR="00BC0393">
        <w:rPr>
          <w:rStyle w:val="s0"/>
          <w:spacing w:val="-4"/>
          <w:sz w:val="24"/>
          <w:szCs w:val="24"/>
          <w:lang w:val="en-US"/>
        </w:rPr>
        <w:t>tTi</w:t>
      </w:r>
      <w:proofErr w:type="spellEnd"/>
      <w:r w:rsidR="00BC0393" w:rsidRPr="00BC0393">
        <w:rPr>
          <w:rStyle w:val="s0"/>
          <w:spacing w:val="-4"/>
          <w:sz w:val="24"/>
          <w:szCs w:val="24"/>
          <w:lang w:val="en-US"/>
        </w:rPr>
        <w:t xml:space="preserve"> pay the carbon tax.</w:t>
      </w:r>
      <w:r w:rsidR="00BC0393">
        <w:rPr>
          <w:lang w:val="en-US"/>
        </w:rPr>
        <w:t xml:space="preserve"> </w:t>
      </w:r>
    </w:p>
    <w:p w14:paraId="0DAEEDAB" w14:textId="5E694E5B" w:rsidR="00CB432F" w:rsidRPr="00CB432F" w:rsidRDefault="00CB432F" w:rsidP="00CB432F">
      <w:pPr>
        <w:pStyle w:val="a3"/>
        <w:spacing w:before="0" w:beforeAutospacing="0" w:after="0" w:afterAutospacing="0"/>
        <w:rPr>
          <w:b/>
          <w:bCs/>
          <w:lang w:val="en-US"/>
        </w:rPr>
      </w:pPr>
      <w:r>
        <w:rPr>
          <w:rStyle w:val="af5"/>
          <w:b w:val="0"/>
          <w:bCs w:val="0"/>
          <w:lang w:val="en-US"/>
        </w:rPr>
        <w:t xml:space="preserve">   </w:t>
      </w:r>
      <w:r w:rsidR="0083464C" w:rsidRPr="00CB432F">
        <w:rPr>
          <w:rStyle w:val="af5"/>
          <w:b w:val="0"/>
          <w:bCs w:val="0"/>
          <w:i/>
          <w:iCs/>
          <w:lang w:val="en-US"/>
        </w:rPr>
        <w:t>2)</w:t>
      </w:r>
      <w:r w:rsidR="00BC0393" w:rsidRPr="00CB432F">
        <w:rPr>
          <w:rStyle w:val="af5"/>
          <w:b w:val="0"/>
          <w:bCs w:val="0"/>
          <w:i/>
          <w:iCs/>
          <w:lang w:val="en-US"/>
        </w:rPr>
        <w:t>Tightening of environmental legislation:</w:t>
      </w:r>
      <w:r w:rsidR="00BC0393">
        <w:rPr>
          <w:rStyle w:val="af5"/>
          <w:b w:val="0"/>
          <w:bCs w:val="0"/>
          <w:lang w:val="en-US"/>
        </w:rPr>
        <w:t xml:space="preserve"> </w:t>
      </w:r>
      <w:r w:rsidR="00913EC5" w:rsidRPr="0083464C">
        <w:rPr>
          <w:rStyle w:val="af5"/>
          <w:b w:val="0"/>
          <w:bCs w:val="0"/>
          <w:lang w:val="en-US"/>
        </w:rPr>
        <w:t xml:space="preserve"> </w:t>
      </w:r>
      <w:r w:rsidR="00913EC5" w:rsidRPr="0083464C">
        <w:rPr>
          <w:b/>
          <w:bCs/>
          <w:lang w:val="en-US"/>
        </w:rPr>
        <w:br/>
      </w:r>
      <w:r w:rsidR="008031A5" w:rsidRPr="008031A5">
        <w:rPr>
          <w:lang w:val="en-US"/>
        </w:rPr>
        <w:t xml:space="preserve">      </w:t>
      </w:r>
      <w:r w:rsidRPr="00CB432F">
        <w:rPr>
          <w:rStyle w:val="af5"/>
          <w:b w:val="0"/>
          <w:bCs w:val="0"/>
          <w:lang w:val="en-US"/>
        </w:rPr>
        <w:t>Under the Paris Agreement, Kazakhstan has committed to reducing greenhouse gas emissions by 15% by December 2030, compared to 1990 levels. The Environmental Code of Kazakhstan mandates stricter emissions reduction requirements, the adoption of Best Available Techniques (BAT), and a phased increase in emission tax rates (by a factor of 2x, 4x, or 8x) for non-compliance with BAT.</w:t>
      </w:r>
    </w:p>
    <w:p w14:paraId="0AE07E22" w14:textId="0854B4C3" w:rsidR="00CB432F" w:rsidRPr="00CB432F" w:rsidRDefault="001700A5" w:rsidP="00CB432F">
      <w:pPr>
        <w:pStyle w:val="a3"/>
        <w:spacing w:before="0" w:beforeAutospacing="0" w:after="0" w:afterAutospacing="0"/>
        <w:rPr>
          <w:b/>
          <w:bCs/>
          <w:lang w:val="en-US"/>
        </w:rPr>
      </w:pPr>
      <w:r w:rsidRPr="001700A5">
        <w:rPr>
          <w:rStyle w:val="af5"/>
          <w:b w:val="0"/>
          <w:bCs w:val="0"/>
          <w:lang w:val="en-US"/>
        </w:rPr>
        <w:t xml:space="preserve">         </w:t>
      </w:r>
      <w:r w:rsidR="00CB432F" w:rsidRPr="00CB432F">
        <w:rPr>
          <w:rStyle w:val="af5"/>
          <w:b w:val="0"/>
          <w:bCs w:val="0"/>
          <w:lang w:val="en-US"/>
        </w:rPr>
        <w:t>In response, the Company plans to implement advanced technologies at its Category 1 facilities, including the installation of gas-cleaning systems, modernization of existing plants, and a transition from coal to gas as the primary fuel source.</w:t>
      </w:r>
    </w:p>
    <w:p w14:paraId="0944CB9B" w14:textId="26564B93" w:rsidR="00913EC5" w:rsidRPr="00913EC5" w:rsidRDefault="008031A5" w:rsidP="008031A5">
      <w:pPr>
        <w:pStyle w:val="a3"/>
        <w:ind w:left="360"/>
        <w:rPr>
          <w:lang w:val="en-US"/>
        </w:rPr>
      </w:pPr>
      <w:r w:rsidRPr="00CB432F">
        <w:rPr>
          <w:rStyle w:val="af5"/>
          <w:b w:val="0"/>
          <w:bCs w:val="0"/>
          <w:i/>
          <w:iCs/>
          <w:lang w:val="en-US"/>
        </w:rPr>
        <w:t xml:space="preserve">3) </w:t>
      </w:r>
      <w:r w:rsidR="00913EC5" w:rsidRPr="00CB432F">
        <w:rPr>
          <w:rStyle w:val="af5"/>
          <w:b w:val="0"/>
          <w:bCs w:val="0"/>
          <w:i/>
          <w:iCs/>
          <w:lang w:val="en-US"/>
        </w:rPr>
        <w:t>Carbon pricing:</w:t>
      </w:r>
      <w:r w:rsidR="00913EC5" w:rsidRPr="00913EC5">
        <w:rPr>
          <w:b/>
          <w:bCs/>
          <w:lang w:val="en-US"/>
        </w:rPr>
        <w:br/>
      </w:r>
      <w:r w:rsidR="00913EC5" w:rsidRPr="00913EC5">
        <w:rPr>
          <w:lang w:val="en-US"/>
        </w:rPr>
        <w:t>The carbon price significantly impacts the Company’s costs and</w:t>
      </w:r>
      <w:r w:rsidR="006A215B">
        <w:rPr>
          <w:lang w:val="en-US"/>
        </w:rPr>
        <w:t xml:space="preserve"> asset profitability. To reduce </w:t>
      </w:r>
      <w:r w:rsidR="00913EC5" w:rsidRPr="00913EC5">
        <w:rPr>
          <w:lang w:val="en-US"/>
        </w:rPr>
        <w:t>expenses and enhance competitiveness, investments in environmentally friendly technologies and projects are necessary.</w:t>
      </w:r>
    </w:p>
    <w:p w14:paraId="2F43A90A" w14:textId="15862B19" w:rsidR="00913EC5" w:rsidRPr="00913EC5" w:rsidRDefault="007A0EB6" w:rsidP="00913EC5">
      <w:pPr>
        <w:pStyle w:val="a3"/>
        <w:rPr>
          <w:b/>
          <w:bCs/>
          <w:lang w:val="en-US"/>
        </w:rPr>
      </w:pPr>
      <w:r w:rsidRPr="00BC0393">
        <w:rPr>
          <w:rStyle w:val="af5"/>
          <w:lang w:val="en-US"/>
        </w:rPr>
        <w:t xml:space="preserve">              </w:t>
      </w:r>
      <w:r w:rsidR="00E30039">
        <w:rPr>
          <w:rStyle w:val="af5"/>
          <w:lang w:val="en-US"/>
        </w:rPr>
        <w:t>6.3.2. Reputational risks.</w:t>
      </w:r>
    </w:p>
    <w:p w14:paraId="51B8B328" w14:textId="0CA5C5E4" w:rsidR="00913EC5" w:rsidRPr="00913EC5" w:rsidRDefault="007A0EB6" w:rsidP="00913EC5">
      <w:pPr>
        <w:pStyle w:val="a3"/>
        <w:rPr>
          <w:lang w:val="en-US"/>
        </w:rPr>
      </w:pPr>
      <w:r w:rsidRPr="007A0EB6">
        <w:rPr>
          <w:lang w:val="en-US"/>
        </w:rPr>
        <w:t xml:space="preserve">             </w:t>
      </w:r>
      <w:r w:rsidR="00913EC5" w:rsidRPr="00913EC5">
        <w:rPr>
          <w:lang w:val="en-US"/>
        </w:rPr>
        <w:t>Reputational risks arise from stakeholder perceptions of the Company’s involvement (or lack thereof) in the transition to a low-carbon economy.</w:t>
      </w:r>
      <w:r w:rsidR="00913EC5" w:rsidRPr="00913EC5">
        <w:rPr>
          <w:lang w:val="en-US"/>
        </w:rPr>
        <w:br/>
      </w:r>
      <w:r w:rsidRPr="007A0EB6">
        <w:rPr>
          <w:lang w:val="en-US"/>
        </w:rPr>
        <w:t xml:space="preserve">            </w:t>
      </w:r>
      <w:r w:rsidR="00913EC5" w:rsidRPr="00913EC5">
        <w:rPr>
          <w:lang w:val="en-US"/>
        </w:rPr>
        <w:t>The Company regularly discloses information on its climate management and greenhouse gas emissions, addressing stakeholder concerns. A decline in sustainability ratings poses a reputational risk. To mitigate this, Samruk-Energy prioritizes transparency as part of a broader sustainability strategy, fostering stronger relationships with all stakeholders.</w:t>
      </w:r>
    </w:p>
    <w:p w14:paraId="19DC7223" w14:textId="09E7F36A" w:rsidR="00ED46B5" w:rsidRPr="00ED46B5" w:rsidRDefault="00381E6E" w:rsidP="00ED46B5">
      <w:pPr>
        <w:spacing w:before="100" w:beforeAutospacing="1" w:after="100" w:afterAutospacing="1" w:line="240" w:lineRule="auto"/>
        <w:rPr>
          <w:sz w:val="24"/>
          <w:szCs w:val="24"/>
          <w:lang w:val="en-US" w:eastAsia="ru-RU"/>
        </w:rPr>
      </w:pPr>
      <w:r w:rsidRPr="00BC0393">
        <w:rPr>
          <w:b/>
          <w:bCs/>
          <w:sz w:val="24"/>
          <w:szCs w:val="24"/>
          <w:lang w:val="en-US" w:eastAsia="ru-RU"/>
        </w:rPr>
        <w:t xml:space="preserve">              </w:t>
      </w:r>
      <w:r w:rsidR="00ED46B5" w:rsidRPr="00ED46B5">
        <w:rPr>
          <w:b/>
          <w:bCs/>
          <w:sz w:val="24"/>
          <w:szCs w:val="24"/>
          <w:lang w:val="en-US" w:eastAsia="ru-RU"/>
        </w:rPr>
        <w:t>6.3.</w:t>
      </w:r>
      <w:r w:rsidR="00ED46B5">
        <w:rPr>
          <w:b/>
          <w:bCs/>
          <w:sz w:val="24"/>
          <w:szCs w:val="24"/>
          <w:lang w:val="en-US" w:eastAsia="ru-RU"/>
        </w:rPr>
        <w:t>3</w:t>
      </w:r>
      <w:r w:rsidR="00ED46B5" w:rsidRPr="00ED46B5">
        <w:rPr>
          <w:b/>
          <w:bCs/>
          <w:sz w:val="24"/>
          <w:szCs w:val="24"/>
          <w:lang w:val="en-US" w:eastAsia="ru-RU"/>
        </w:rPr>
        <w:t xml:space="preserve">. </w:t>
      </w:r>
      <w:r w:rsidR="00ED46B5">
        <w:rPr>
          <w:b/>
          <w:bCs/>
          <w:sz w:val="24"/>
          <w:szCs w:val="24"/>
          <w:lang w:val="en-US" w:eastAsia="ru-RU"/>
        </w:rPr>
        <w:t xml:space="preserve">Ongoing </w:t>
      </w:r>
      <w:r w:rsidR="00ED46B5" w:rsidRPr="00ED46B5">
        <w:rPr>
          <w:b/>
          <w:bCs/>
          <w:sz w:val="24"/>
          <w:szCs w:val="24"/>
          <w:lang w:val="en-US" w:eastAsia="ru-RU"/>
        </w:rPr>
        <w:t xml:space="preserve">and </w:t>
      </w:r>
      <w:r w:rsidR="00ED46B5">
        <w:rPr>
          <w:b/>
          <w:bCs/>
          <w:sz w:val="24"/>
          <w:szCs w:val="24"/>
          <w:lang w:val="en-US" w:eastAsia="ru-RU"/>
        </w:rPr>
        <w:t>p</w:t>
      </w:r>
      <w:r w:rsidR="00ED46B5" w:rsidRPr="00ED46B5">
        <w:rPr>
          <w:b/>
          <w:bCs/>
          <w:sz w:val="24"/>
          <w:szCs w:val="24"/>
          <w:lang w:val="en-US" w:eastAsia="ru-RU"/>
        </w:rPr>
        <w:t xml:space="preserve">rospective </w:t>
      </w:r>
      <w:r w:rsidR="00ED46B5">
        <w:rPr>
          <w:b/>
          <w:bCs/>
          <w:sz w:val="24"/>
          <w:szCs w:val="24"/>
          <w:lang w:val="en-US" w:eastAsia="ru-RU"/>
        </w:rPr>
        <w:t>i</w:t>
      </w:r>
      <w:r w:rsidR="00ED46B5" w:rsidRPr="00ED46B5">
        <w:rPr>
          <w:b/>
          <w:bCs/>
          <w:sz w:val="24"/>
          <w:szCs w:val="24"/>
          <w:lang w:val="en-US" w:eastAsia="ru-RU"/>
        </w:rPr>
        <w:t>nvestment</w:t>
      </w:r>
      <w:r w:rsidR="00ED46B5">
        <w:rPr>
          <w:b/>
          <w:bCs/>
          <w:sz w:val="24"/>
          <w:szCs w:val="24"/>
          <w:lang w:val="en-US" w:eastAsia="ru-RU"/>
        </w:rPr>
        <w:t xml:space="preserve"> p</w:t>
      </w:r>
      <w:r w:rsidR="00ED46B5" w:rsidRPr="00ED46B5">
        <w:rPr>
          <w:b/>
          <w:bCs/>
          <w:sz w:val="24"/>
          <w:szCs w:val="24"/>
          <w:lang w:val="en-US" w:eastAsia="ru-RU"/>
        </w:rPr>
        <w:t xml:space="preserve">rojects in the </w:t>
      </w:r>
      <w:r w:rsidR="00ED46B5">
        <w:rPr>
          <w:b/>
          <w:bCs/>
          <w:sz w:val="24"/>
          <w:szCs w:val="24"/>
          <w:lang w:val="en-US" w:eastAsia="ru-RU"/>
        </w:rPr>
        <w:t>f</w:t>
      </w:r>
      <w:r w:rsidR="00ED46B5" w:rsidRPr="00ED46B5">
        <w:rPr>
          <w:b/>
          <w:bCs/>
          <w:sz w:val="24"/>
          <w:szCs w:val="24"/>
          <w:lang w:val="en-US" w:eastAsia="ru-RU"/>
        </w:rPr>
        <w:t>ramework of the Program</w:t>
      </w:r>
      <w:r w:rsidR="00ED46B5">
        <w:rPr>
          <w:b/>
          <w:bCs/>
          <w:sz w:val="24"/>
          <w:szCs w:val="24"/>
          <w:lang w:val="en-US" w:eastAsia="ru-RU"/>
        </w:rPr>
        <w:t xml:space="preserve"> implementation </w:t>
      </w:r>
    </w:p>
    <w:p w14:paraId="25CC990E" w14:textId="6F6FD8E8" w:rsidR="00CB432F" w:rsidRPr="00CB432F" w:rsidRDefault="00ED46B5" w:rsidP="00CB432F">
      <w:pPr>
        <w:spacing w:after="0" w:line="240" w:lineRule="auto"/>
        <w:ind w:firstLine="709"/>
        <w:contextualSpacing/>
        <w:jc w:val="both"/>
        <w:rPr>
          <w:b/>
          <w:bCs/>
          <w:lang w:val="en-US"/>
        </w:rPr>
      </w:pPr>
      <w:r w:rsidRPr="00ED46B5">
        <w:rPr>
          <w:sz w:val="24"/>
          <w:szCs w:val="24"/>
          <w:lang w:val="en-US" w:eastAsia="ru-RU"/>
        </w:rPr>
        <w:t>The untimely or poor execution of investment projects and programs within subsidiaries due to a lack of funding or currency fluctuations can result in a decrease in the operational efficiency of existing capacities and failure to achieve planned benefits due to equipment becoming obsolete.</w:t>
      </w:r>
      <w:r w:rsidRPr="00ED46B5">
        <w:rPr>
          <w:sz w:val="24"/>
          <w:szCs w:val="24"/>
          <w:lang w:val="en-US" w:eastAsia="ru-RU"/>
        </w:rPr>
        <w:br/>
      </w:r>
      <w:r w:rsidR="00CB432F">
        <w:rPr>
          <w:rStyle w:val="af5"/>
          <w:lang w:val="en-US"/>
        </w:rPr>
        <w:t xml:space="preserve">           </w:t>
      </w:r>
      <w:r w:rsidR="00CB432F" w:rsidRPr="00CB432F">
        <w:rPr>
          <w:rStyle w:val="af5"/>
          <w:b w:val="0"/>
          <w:bCs w:val="0"/>
          <w:lang w:val="en-US"/>
        </w:rPr>
        <w:t>There is a risk of project implementation delays and/or cost escalations, which may be influenced by a range of factors, including high project costs, insufficient internal funds for financing, limited borrowing capacity, the lack of thorough research on CCUS technologies, and uncertainties regarding their applicability to the Company’s TPPs, among other considerations.</w:t>
      </w:r>
    </w:p>
    <w:p w14:paraId="35187A10" w14:textId="194A9798" w:rsidR="00CB432F" w:rsidRPr="00CB432F" w:rsidRDefault="00CB432F" w:rsidP="00CB432F">
      <w:pPr>
        <w:pStyle w:val="a3"/>
        <w:spacing w:before="0" w:beforeAutospacing="0" w:after="0" w:afterAutospacing="0"/>
        <w:rPr>
          <w:b/>
          <w:bCs/>
          <w:lang w:val="en-US"/>
        </w:rPr>
      </w:pPr>
      <w:r w:rsidRPr="00CB432F">
        <w:rPr>
          <w:rStyle w:val="af5"/>
          <w:b w:val="0"/>
          <w:bCs w:val="0"/>
          <w:lang w:val="en-US"/>
        </w:rPr>
        <w:t xml:space="preserve">        To minimize this risk, it is necessary to conduct a comprehensive study of new technologies with the involvement of research institutes and international organizations, attract a strategic investor within the framework of these projects, carry out public awareness campaigns, and ensure strict oversight of project implementation (both from a technical standpoint and in terms of safety compliance).</w:t>
      </w:r>
    </w:p>
    <w:p w14:paraId="3830D92E" w14:textId="4508804B" w:rsidR="00CB432F" w:rsidRPr="00CB432F" w:rsidRDefault="00CB432F" w:rsidP="00381E6E">
      <w:pPr>
        <w:spacing w:after="0" w:line="240" w:lineRule="auto"/>
        <w:ind w:firstLine="709"/>
        <w:contextualSpacing/>
        <w:jc w:val="both"/>
        <w:rPr>
          <w:color w:val="000000" w:themeColor="text1"/>
          <w:spacing w:val="-4"/>
          <w:sz w:val="24"/>
          <w:szCs w:val="28"/>
          <w:lang w:val="en-US" w:eastAsia="ru-RU"/>
        </w:rPr>
      </w:pPr>
    </w:p>
    <w:p w14:paraId="0D30754E" w14:textId="43F251F6" w:rsidR="00ED46B5" w:rsidRPr="00ED46B5" w:rsidRDefault="00381E6E" w:rsidP="00ED46B5">
      <w:pPr>
        <w:spacing w:before="100" w:beforeAutospacing="1" w:after="100" w:afterAutospacing="1" w:line="240" w:lineRule="auto"/>
        <w:rPr>
          <w:sz w:val="24"/>
          <w:szCs w:val="24"/>
          <w:lang w:val="en-US" w:eastAsia="ru-RU"/>
        </w:rPr>
      </w:pPr>
      <w:r w:rsidRPr="00CB432F">
        <w:rPr>
          <w:b/>
          <w:bCs/>
          <w:sz w:val="24"/>
          <w:szCs w:val="24"/>
          <w:lang w:val="en-US" w:eastAsia="ru-RU"/>
        </w:rPr>
        <w:t xml:space="preserve">               </w:t>
      </w:r>
      <w:r w:rsidR="00ED46B5" w:rsidRPr="00ED46B5">
        <w:rPr>
          <w:b/>
          <w:bCs/>
          <w:sz w:val="24"/>
          <w:szCs w:val="24"/>
          <w:lang w:val="en-US" w:eastAsia="ru-RU"/>
        </w:rPr>
        <w:t>6.3.</w:t>
      </w:r>
      <w:r w:rsidR="00ED46B5">
        <w:rPr>
          <w:b/>
          <w:bCs/>
          <w:sz w:val="24"/>
          <w:szCs w:val="24"/>
          <w:lang w:val="en-US" w:eastAsia="ru-RU"/>
        </w:rPr>
        <w:t>4</w:t>
      </w:r>
      <w:r w:rsidR="00ED46B5" w:rsidRPr="00ED46B5">
        <w:rPr>
          <w:b/>
          <w:bCs/>
          <w:sz w:val="24"/>
          <w:szCs w:val="24"/>
          <w:lang w:val="en-US" w:eastAsia="ru-RU"/>
        </w:rPr>
        <w:t xml:space="preserve">. Technological </w:t>
      </w:r>
      <w:r w:rsidR="00ED46B5">
        <w:rPr>
          <w:b/>
          <w:bCs/>
          <w:sz w:val="24"/>
          <w:szCs w:val="24"/>
          <w:lang w:val="en-US" w:eastAsia="ru-RU"/>
        </w:rPr>
        <w:t xml:space="preserve">risks </w:t>
      </w:r>
    </w:p>
    <w:p w14:paraId="1710E3B1" w14:textId="3E75E5C4" w:rsidR="00ED46B5" w:rsidRPr="00ED46B5" w:rsidRDefault="00B870A4" w:rsidP="00B870A4">
      <w:pPr>
        <w:spacing w:before="100" w:beforeAutospacing="1" w:after="100" w:afterAutospacing="1" w:line="240" w:lineRule="auto"/>
        <w:jc w:val="both"/>
        <w:rPr>
          <w:sz w:val="24"/>
          <w:szCs w:val="24"/>
          <w:lang w:val="en-US" w:eastAsia="ru-RU"/>
        </w:rPr>
      </w:pPr>
      <w:r w:rsidRPr="00B870A4">
        <w:rPr>
          <w:sz w:val="24"/>
          <w:szCs w:val="24"/>
          <w:lang w:val="en-US" w:eastAsia="ru-RU"/>
        </w:rPr>
        <w:t xml:space="preserve">              </w:t>
      </w:r>
      <w:r w:rsidR="00ED46B5" w:rsidRPr="00ED46B5">
        <w:rPr>
          <w:sz w:val="24"/>
          <w:szCs w:val="24"/>
          <w:lang w:val="en-US" w:eastAsia="ru-RU"/>
        </w:rPr>
        <w:t>These risks are associated with the acceleration of the global economy's transition to a low-carbon path, driven by the development and increasing efficiency of low-carbon technologies.</w:t>
      </w:r>
    </w:p>
    <w:p w14:paraId="5FC7EDB7" w14:textId="4BFC5E21" w:rsidR="00ED46B5" w:rsidRPr="00ED46B5" w:rsidRDefault="00B870A4" w:rsidP="00B870A4">
      <w:pPr>
        <w:spacing w:before="100" w:beforeAutospacing="1" w:after="100" w:afterAutospacing="1" w:line="240" w:lineRule="auto"/>
        <w:jc w:val="both"/>
        <w:rPr>
          <w:sz w:val="24"/>
          <w:szCs w:val="24"/>
          <w:lang w:val="en-US" w:eastAsia="ru-RU"/>
        </w:rPr>
      </w:pPr>
      <w:r w:rsidRPr="00B870A4">
        <w:rPr>
          <w:sz w:val="24"/>
          <w:szCs w:val="24"/>
          <w:lang w:val="en-US" w:eastAsia="ru-RU"/>
        </w:rPr>
        <w:t xml:space="preserve">               </w:t>
      </w:r>
      <w:r w:rsidR="00ED46B5" w:rsidRPr="00ED46B5">
        <w:rPr>
          <w:sz w:val="24"/>
          <w:szCs w:val="24"/>
          <w:lang w:val="en-US" w:eastAsia="ru-RU"/>
        </w:rPr>
        <w:t>Measures to minimize these risks may include:</w:t>
      </w:r>
      <w:r w:rsidR="00ED46B5">
        <w:rPr>
          <w:sz w:val="24"/>
          <w:szCs w:val="24"/>
          <w:lang w:val="en-US" w:eastAsia="ru-RU"/>
        </w:rPr>
        <w:t xml:space="preserve"> o</w:t>
      </w:r>
      <w:r w:rsidR="00ED46B5" w:rsidRPr="00ED46B5">
        <w:rPr>
          <w:sz w:val="24"/>
          <w:szCs w:val="24"/>
          <w:lang w:val="en-US" w:eastAsia="ru-RU"/>
        </w:rPr>
        <w:t>ngoing monitoring of technological advancements;</w:t>
      </w:r>
      <w:r w:rsidR="00ED46B5">
        <w:rPr>
          <w:sz w:val="24"/>
          <w:szCs w:val="24"/>
          <w:lang w:val="en-US" w:eastAsia="ru-RU"/>
        </w:rPr>
        <w:t xml:space="preserve"> d</w:t>
      </w:r>
      <w:r w:rsidR="00ED46B5" w:rsidRPr="00ED46B5">
        <w:rPr>
          <w:sz w:val="24"/>
          <w:szCs w:val="24"/>
          <w:lang w:val="en-US" w:eastAsia="ru-RU"/>
        </w:rPr>
        <w:t>evelopment of proprietary solutions in energy efficiency;</w:t>
      </w:r>
      <w:r w:rsidR="00ED46B5">
        <w:rPr>
          <w:sz w:val="24"/>
          <w:szCs w:val="24"/>
          <w:lang w:val="en-US" w:eastAsia="ru-RU"/>
        </w:rPr>
        <w:t xml:space="preserve"> i</w:t>
      </w:r>
      <w:r w:rsidR="00ED46B5" w:rsidRPr="00ED46B5">
        <w:rPr>
          <w:sz w:val="24"/>
          <w:szCs w:val="24"/>
          <w:lang w:val="en-US" w:eastAsia="ru-RU"/>
        </w:rPr>
        <w:t xml:space="preserve">mproving energy efficiency in production through energy conservation, energy management, and </w:t>
      </w:r>
      <w:r w:rsidR="00F55343">
        <w:rPr>
          <w:sz w:val="24"/>
          <w:szCs w:val="24"/>
          <w:lang w:val="en-US" w:eastAsia="ru-RU"/>
        </w:rPr>
        <w:t>streamlining</w:t>
      </w:r>
      <w:r w:rsidR="00ED46B5" w:rsidRPr="00ED46B5">
        <w:rPr>
          <w:sz w:val="24"/>
          <w:szCs w:val="24"/>
          <w:lang w:val="en-US" w:eastAsia="ru-RU"/>
        </w:rPr>
        <w:t xml:space="preserve"> industrial processes.</w:t>
      </w:r>
    </w:p>
    <w:p w14:paraId="13F771C1" w14:textId="30C729E5" w:rsidR="00ED46B5" w:rsidRPr="00ED46B5" w:rsidRDefault="00B870A4" w:rsidP="00ED46B5">
      <w:pPr>
        <w:spacing w:before="100" w:beforeAutospacing="1" w:after="100" w:afterAutospacing="1" w:line="240" w:lineRule="auto"/>
        <w:rPr>
          <w:sz w:val="24"/>
          <w:szCs w:val="24"/>
          <w:lang w:val="en-US" w:eastAsia="ru-RU"/>
        </w:rPr>
      </w:pPr>
      <w:r>
        <w:rPr>
          <w:b/>
          <w:bCs/>
          <w:sz w:val="24"/>
          <w:szCs w:val="24"/>
          <w:lang w:val="en-US" w:eastAsia="ru-RU"/>
        </w:rPr>
        <w:t xml:space="preserve">             </w:t>
      </w:r>
      <w:r w:rsidR="00381E6E" w:rsidRPr="00381E6E">
        <w:rPr>
          <w:b/>
          <w:bCs/>
          <w:sz w:val="24"/>
          <w:szCs w:val="24"/>
          <w:lang w:val="en-US" w:eastAsia="ru-RU"/>
        </w:rPr>
        <w:t xml:space="preserve">  </w:t>
      </w:r>
      <w:r w:rsidR="00ED46B5" w:rsidRPr="00ED46B5">
        <w:rPr>
          <w:b/>
          <w:bCs/>
          <w:sz w:val="24"/>
          <w:szCs w:val="24"/>
          <w:lang w:val="en-US" w:eastAsia="ru-RU"/>
        </w:rPr>
        <w:t>6.3.</w:t>
      </w:r>
      <w:r w:rsidR="00ED46B5">
        <w:rPr>
          <w:b/>
          <w:bCs/>
          <w:sz w:val="24"/>
          <w:szCs w:val="24"/>
          <w:lang w:val="en-US" w:eastAsia="ru-RU"/>
        </w:rPr>
        <w:t>5</w:t>
      </w:r>
      <w:r w:rsidR="00ED46B5" w:rsidRPr="00ED46B5">
        <w:rPr>
          <w:b/>
          <w:bCs/>
          <w:sz w:val="24"/>
          <w:szCs w:val="24"/>
          <w:lang w:val="en-US" w:eastAsia="ru-RU"/>
        </w:rPr>
        <w:t xml:space="preserve"> Threat to the </w:t>
      </w:r>
      <w:r w:rsidR="00ED46B5">
        <w:rPr>
          <w:b/>
          <w:bCs/>
          <w:sz w:val="24"/>
          <w:szCs w:val="24"/>
          <w:lang w:val="en-US" w:eastAsia="ru-RU"/>
        </w:rPr>
        <w:t>c</w:t>
      </w:r>
      <w:r w:rsidR="00ED46B5" w:rsidRPr="00ED46B5">
        <w:rPr>
          <w:b/>
          <w:bCs/>
          <w:sz w:val="24"/>
          <w:szCs w:val="24"/>
          <w:lang w:val="en-US" w:eastAsia="ru-RU"/>
        </w:rPr>
        <w:t xml:space="preserve">ountry's </w:t>
      </w:r>
      <w:r w:rsidR="00ED46B5">
        <w:rPr>
          <w:b/>
          <w:bCs/>
          <w:sz w:val="24"/>
          <w:szCs w:val="24"/>
          <w:lang w:val="en-US" w:eastAsia="ru-RU"/>
        </w:rPr>
        <w:t>e</w:t>
      </w:r>
      <w:r w:rsidR="00ED46B5" w:rsidRPr="00ED46B5">
        <w:rPr>
          <w:b/>
          <w:bCs/>
          <w:sz w:val="24"/>
          <w:szCs w:val="24"/>
          <w:lang w:val="en-US" w:eastAsia="ru-RU"/>
        </w:rPr>
        <w:t xml:space="preserve">nergy </w:t>
      </w:r>
      <w:r w:rsidR="00ED46B5">
        <w:rPr>
          <w:b/>
          <w:bCs/>
          <w:sz w:val="24"/>
          <w:szCs w:val="24"/>
          <w:lang w:val="en-US" w:eastAsia="ru-RU"/>
        </w:rPr>
        <w:t>s</w:t>
      </w:r>
      <w:r w:rsidR="00ED46B5" w:rsidRPr="00ED46B5">
        <w:rPr>
          <w:b/>
          <w:bCs/>
          <w:sz w:val="24"/>
          <w:szCs w:val="24"/>
          <w:lang w:val="en-US" w:eastAsia="ru-RU"/>
        </w:rPr>
        <w:t>ecurity</w:t>
      </w:r>
    </w:p>
    <w:p w14:paraId="16D3BEA6" w14:textId="690B8B01" w:rsidR="00ED46B5" w:rsidRPr="00ED46B5" w:rsidRDefault="00B870A4" w:rsidP="00B870A4">
      <w:pPr>
        <w:spacing w:before="100" w:beforeAutospacing="1" w:after="100" w:afterAutospacing="1" w:line="240" w:lineRule="auto"/>
        <w:jc w:val="both"/>
        <w:rPr>
          <w:sz w:val="24"/>
          <w:szCs w:val="24"/>
          <w:lang w:val="en-US" w:eastAsia="ru-RU"/>
        </w:rPr>
      </w:pPr>
      <w:r w:rsidRPr="00B870A4">
        <w:rPr>
          <w:sz w:val="24"/>
          <w:szCs w:val="24"/>
          <w:lang w:val="en-US" w:eastAsia="ru-RU"/>
        </w:rPr>
        <w:t xml:space="preserve">                </w:t>
      </w:r>
      <w:r w:rsidR="00ED46B5" w:rsidRPr="00ED46B5">
        <w:rPr>
          <w:sz w:val="24"/>
          <w:szCs w:val="24"/>
          <w:lang w:val="en-US" w:eastAsia="ru-RU"/>
        </w:rPr>
        <w:t>The Company’s current assets, operating on traditional fuels, form the backbone of the country’s energy system, providing stable, reliable, and affordable electricity to the economy and population. The tightening of CO₂ emissions reduction requirements and the increase in the share of renewable energy sources (RES) in the country’s generation mix brings energy system stabilization to the forefront. Given the instability of RES and the complex climatic conditions of the country, the development of RES and the transition to their full use is not feasible without supporting base generation.</w:t>
      </w:r>
    </w:p>
    <w:p w14:paraId="3FF89D40" w14:textId="1775FAC4" w:rsidR="00ED46B5" w:rsidRPr="00ED46B5" w:rsidRDefault="00B870A4" w:rsidP="00B870A4">
      <w:pPr>
        <w:spacing w:before="100" w:beforeAutospacing="1" w:after="100" w:afterAutospacing="1" w:line="240" w:lineRule="auto"/>
        <w:jc w:val="both"/>
        <w:rPr>
          <w:sz w:val="24"/>
          <w:szCs w:val="24"/>
          <w:lang w:val="en-US" w:eastAsia="ru-RU"/>
        </w:rPr>
      </w:pPr>
      <w:r w:rsidRPr="00B870A4">
        <w:rPr>
          <w:sz w:val="24"/>
          <w:szCs w:val="24"/>
          <w:lang w:val="en-US" w:eastAsia="ru-RU"/>
        </w:rPr>
        <w:t xml:space="preserve">               </w:t>
      </w:r>
      <w:r w:rsidR="00ED46B5" w:rsidRPr="00ED46B5">
        <w:rPr>
          <w:sz w:val="24"/>
          <w:szCs w:val="24"/>
          <w:lang w:val="en-US" w:eastAsia="ru-RU"/>
        </w:rPr>
        <w:t>Measures to mitigate this risk include</w:t>
      </w:r>
      <w:r w:rsidR="00ED46B5">
        <w:rPr>
          <w:sz w:val="24"/>
          <w:szCs w:val="24"/>
          <w:lang w:val="en-US" w:eastAsia="ru-RU"/>
        </w:rPr>
        <w:t xml:space="preserve"> i</w:t>
      </w:r>
      <w:r w:rsidR="00ED46B5" w:rsidRPr="00ED46B5">
        <w:rPr>
          <w:sz w:val="24"/>
          <w:szCs w:val="24"/>
          <w:lang w:val="en-US" w:eastAsia="ru-RU"/>
        </w:rPr>
        <w:t xml:space="preserve">mplementation of RES development </w:t>
      </w:r>
      <w:r w:rsidR="007C1B63" w:rsidRPr="00ED46B5">
        <w:rPr>
          <w:sz w:val="24"/>
          <w:szCs w:val="24"/>
          <w:lang w:val="en-US" w:eastAsia="ru-RU"/>
        </w:rPr>
        <w:t>projects;</w:t>
      </w:r>
      <w:r w:rsidR="007C1B63">
        <w:rPr>
          <w:sz w:val="24"/>
          <w:szCs w:val="24"/>
          <w:lang w:val="en-US" w:eastAsia="ru-RU"/>
        </w:rPr>
        <w:t xml:space="preserve"> </w:t>
      </w:r>
      <w:r w:rsidR="007C1B63" w:rsidRPr="00ED46B5">
        <w:rPr>
          <w:sz w:val="24"/>
          <w:szCs w:val="24"/>
          <w:lang w:val="en-US" w:eastAsia="ru-RU"/>
        </w:rPr>
        <w:t>development</w:t>
      </w:r>
      <w:r w:rsidR="00ED46B5" w:rsidRPr="00ED46B5">
        <w:rPr>
          <w:sz w:val="24"/>
          <w:szCs w:val="24"/>
          <w:lang w:val="en-US" w:eastAsia="ru-RU"/>
        </w:rPr>
        <w:t xml:space="preserve"> of energy storage technologies;</w:t>
      </w:r>
      <w:r w:rsidR="00ED46B5">
        <w:rPr>
          <w:sz w:val="24"/>
          <w:szCs w:val="24"/>
          <w:lang w:val="en-US" w:eastAsia="ru-RU"/>
        </w:rPr>
        <w:t xml:space="preserve"> </w:t>
      </w:r>
      <w:r w:rsidR="00ED46B5" w:rsidRPr="00ED46B5">
        <w:rPr>
          <w:sz w:val="24"/>
          <w:szCs w:val="24"/>
          <w:lang w:val="en-US" w:eastAsia="ru-RU"/>
        </w:rPr>
        <w:t>implementation of energy security plans that take into account the need for the development of base generation to support RES;</w:t>
      </w:r>
      <w:r w:rsidR="00ED46B5">
        <w:rPr>
          <w:sz w:val="24"/>
          <w:szCs w:val="24"/>
          <w:lang w:val="en-US" w:eastAsia="ru-RU"/>
        </w:rPr>
        <w:t xml:space="preserve"> c</w:t>
      </w:r>
      <w:r w:rsidR="00ED46B5" w:rsidRPr="00ED46B5">
        <w:rPr>
          <w:sz w:val="24"/>
          <w:szCs w:val="24"/>
          <w:lang w:val="en-US" w:eastAsia="ru-RU"/>
        </w:rPr>
        <w:t>onstruction of coal power plants equipped with modern, environmentally friendly technology.</w:t>
      </w:r>
    </w:p>
    <w:p w14:paraId="58568750" w14:textId="7AE0A710" w:rsidR="00ED46B5" w:rsidRPr="00ED46B5" w:rsidRDefault="00B870A4" w:rsidP="00ED46B5">
      <w:pPr>
        <w:pStyle w:val="a3"/>
        <w:rPr>
          <w:lang w:val="en-US"/>
        </w:rPr>
      </w:pPr>
      <w:r w:rsidRPr="00B870A4">
        <w:rPr>
          <w:rStyle w:val="af5"/>
          <w:lang w:val="en-US"/>
        </w:rPr>
        <w:t xml:space="preserve">                 </w:t>
      </w:r>
      <w:r w:rsidR="00ED46B5" w:rsidRPr="00ED46B5">
        <w:rPr>
          <w:rStyle w:val="af5"/>
          <w:lang w:val="en-US"/>
        </w:rPr>
        <w:t>6.3.</w:t>
      </w:r>
      <w:r w:rsidR="00ED46B5">
        <w:rPr>
          <w:rStyle w:val="af5"/>
          <w:lang w:val="en-US"/>
        </w:rPr>
        <w:t>6</w:t>
      </w:r>
      <w:r w:rsidR="00ED46B5" w:rsidRPr="00ED46B5">
        <w:rPr>
          <w:rStyle w:val="af5"/>
          <w:lang w:val="en-US"/>
        </w:rPr>
        <w:t xml:space="preserve">. Growth of </w:t>
      </w:r>
      <w:r w:rsidR="00ED46B5">
        <w:rPr>
          <w:rStyle w:val="af5"/>
          <w:lang w:val="en-US"/>
        </w:rPr>
        <w:t>e</w:t>
      </w:r>
      <w:r w:rsidR="00ED46B5" w:rsidRPr="00ED46B5">
        <w:rPr>
          <w:rStyle w:val="af5"/>
          <w:lang w:val="en-US"/>
        </w:rPr>
        <w:t xml:space="preserve">lectricity </w:t>
      </w:r>
      <w:r w:rsidR="00ED46B5">
        <w:rPr>
          <w:rStyle w:val="af5"/>
          <w:lang w:val="en-US"/>
        </w:rPr>
        <w:t>c</w:t>
      </w:r>
      <w:r w:rsidR="00ED46B5" w:rsidRPr="00ED46B5">
        <w:rPr>
          <w:rStyle w:val="af5"/>
          <w:lang w:val="en-US"/>
        </w:rPr>
        <w:t>onsumption by 2060</w:t>
      </w:r>
    </w:p>
    <w:p w14:paraId="0A91E068" w14:textId="698D7991" w:rsidR="00ED46B5" w:rsidRPr="00ED46B5" w:rsidRDefault="002E6FF9" w:rsidP="002E6FF9">
      <w:pPr>
        <w:pStyle w:val="a3"/>
        <w:spacing w:before="0" w:beforeAutospacing="0" w:after="0" w:afterAutospacing="0"/>
        <w:jc w:val="both"/>
        <w:rPr>
          <w:lang w:val="en-US"/>
        </w:rPr>
      </w:pPr>
      <w:r w:rsidRPr="002E6FF9">
        <w:rPr>
          <w:lang w:val="en-US"/>
        </w:rPr>
        <w:t xml:space="preserve">            </w:t>
      </w:r>
      <w:r w:rsidR="00ED46B5" w:rsidRPr="00ED46B5">
        <w:rPr>
          <w:lang w:val="en-US"/>
        </w:rPr>
        <w:t>Electricity consumption in the country shows a steady annual increase. Currently, electricity consumption stands at around 100 billion kWh, with an annual growth rate of approximately 1%. Factors influencing consumption growth include the energy intensity of industries, the trend towards electrification, the adoption of digital technologies, population growth, and the expansion of mining.</w:t>
      </w:r>
    </w:p>
    <w:p w14:paraId="195AAF2E" w14:textId="189E3E72" w:rsidR="00ED46B5" w:rsidRPr="00ED46B5" w:rsidRDefault="002E6FF9" w:rsidP="002E6FF9">
      <w:pPr>
        <w:pStyle w:val="a3"/>
        <w:spacing w:before="0" w:beforeAutospacing="0" w:after="0" w:afterAutospacing="0"/>
        <w:jc w:val="both"/>
        <w:rPr>
          <w:lang w:val="en-US"/>
        </w:rPr>
      </w:pPr>
      <w:r w:rsidRPr="002E6FF9">
        <w:rPr>
          <w:lang w:val="en-US"/>
        </w:rPr>
        <w:t xml:space="preserve">            </w:t>
      </w:r>
      <w:r w:rsidR="00ED46B5" w:rsidRPr="00ED46B5">
        <w:rPr>
          <w:lang w:val="en-US"/>
        </w:rPr>
        <w:t>To meet the growing demand for electricity in the future, the Company is continuously working to improve energy efficiency and reduce energy intensity in its operations, while also commissioning new generation capacities. The development of energy-saving and energy efficiency programs at the state level also yields positive effects.</w:t>
      </w:r>
    </w:p>
    <w:p w14:paraId="46FF306E" w14:textId="09CE68AB" w:rsidR="00ED46B5" w:rsidRPr="00ED46B5" w:rsidRDefault="002E6FF9" w:rsidP="00ED46B5">
      <w:pPr>
        <w:pStyle w:val="a3"/>
        <w:rPr>
          <w:lang w:val="en-US"/>
        </w:rPr>
      </w:pPr>
      <w:r w:rsidRPr="00BC0393">
        <w:rPr>
          <w:rStyle w:val="af5"/>
          <w:lang w:val="en-US"/>
        </w:rPr>
        <w:t xml:space="preserve">                 </w:t>
      </w:r>
      <w:r w:rsidR="00ED46B5" w:rsidRPr="00ED46B5">
        <w:rPr>
          <w:rStyle w:val="af5"/>
          <w:lang w:val="en-US"/>
        </w:rPr>
        <w:t>6.3.</w:t>
      </w:r>
      <w:r w:rsidR="00ED46B5">
        <w:rPr>
          <w:rStyle w:val="af5"/>
          <w:lang w:val="en-US"/>
        </w:rPr>
        <w:t>7</w:t>
      </w:r>
      <w:r w:rsidR="00ED46B5" w:rsidRPr="00ED46B5">
        <w:rPr>
          <w:rStyle w:val="af5"/>
          <w:lang w:val="en-US"/>
        </w:rPr>
        <w:t xml:space="preserve">. Limitation of </w:t>
      </w:r>
      <w:r w:rsidR="00ED46B5">
        <w:rPr>
          <w:rStyle w:val="af5"/>
          <w:lang w:val="en-US"/>
        </w:rPr>
        <w:t>e</w:t>
      </w:r>
      <w:r w:rsidR="00ED46B5" w:rsidRPr="00ED46B5">
        <w:rPr>
          <w:rStyle w:val="af5"/>
          <w:lang w:val="en-US"/>
        </w:rPr>
        <w:t xml:space="preserve">nergy </w:t>
      </w:r>
      <w:r w:rsidR="00ED46B5">
        <w:rPr>
          <w:rStyle w:val="af5"/>
          <w:lang w:val="en-US"/>
        </w:rPr>
        <w:t>r</w:t>
      </w:r>
      <w:r w:rsidR="00ED46B5" w:rsidRPr="00ED46B5">
        <w:rPr>
          <w:rStyle w:val="af5"/>
          <w:lang w:val="en-US"/>
        </w:rPr>
        <w:t>esources</w:t>
      </w:r>
    </w:p>
    <w:p w14:paraId="46F1D90E" w14:textId="4E922603" w:rsidR="00ED46B5" w:rsidRPr="00ED46B5" w:rsidRDefault="002E6FF9" w:rsidP="00ED46B5">
      <w:pPr>
        <w:pStyle w:val="a3"/>
        <w:spacing w:before="0" w:beforeAutospacing="0" w:after="0" w:afterAutospacing="0"/>
        <w:jc w:val="both"/>
        <w:rPr>
          <w:lang w:val="en-US"/>
        </w:rPr>
      </w:pPr>
      <w:r w:rsidRPr="002E6FF9">
        <w:rPr>
          <w:lang w:val="en-US"/>
        </w:rPr>
        <w:t xml:space="preserve">               </w:t>
      </w:r>
      <w:r w:rsidR="00ED46B5" w:rsidRPr="00ED46B5">
        <w:rPr>
          <w:lang w:val="en-US"/>
        </w:rPr>
        <w:t>The vast territory of Kazakhstan has a wide variety of climate zones and significant potential for utilizing energy from water, sunlight, wind, and geothermal sources. The growing demand for electricity and the decommissioning of traditional power plants will require the construction of a large number of new capacities. While maintaining the share of RES generation within the framework of deep decarbonization scenarios, there is a possibility that RES sources may not be sufficient to meet the demand.</w:t>
      </w:r>
    </w:p>
    <w:p w14:paraId="4720D9E8" w14:textId="57C91C47" w:rsidR="00ED46B5" w:rsidRPr="00ED46B5" w:rsidRDefault="002E6FF9" w:rsidP="00ED46B5">
      <w:pPr>
        <w:pStyle w:val="a3"/>
        <w:spacing w:before="0" w:beforeAutospacing="0" w:after="0" w:afterAutospacing="0"/>
        <w:jc w:val="both"/>
        <w:rPr>
          <w:lang w:val="en-US"/>
        </w:rPr>
      </w:pPr>
      <w:r w:rsidRPr="002E6FF9">
        <w:rPr>
          <w:lang w:val="en-US"/>
        </w:rPr>
        <w:t xml:space="preserve">             </w:t>
      </w:r>
      <w:r w:rsidR="00ED46B5" w:rsidRPr="00ED46B5">
        <w:rPr>
          <w:lang w:val="en-US"/>
        </w:rPr>
        <w:t>In this context, research and the implementation of alternative energy projects may help maintain a balance between the use of clean energy and ensuring the reliable supply of electricity to meet the growing demand.</w:t>
      </w:r>
    </w:p>
    <w:p w14:paraId="525481BB" w14:textId="594EABCE" w:rsidR="00ED46B5" w:rsidRPr="00954725" w:rsidRDefault="002E6FF9" w:rsidP="00ED46B5">
      <w:pPr>
        <w:pStyle w:val="a3"/>
        <w:rPr>
          <w:rStyle w:val="af5"/>
          <w:lang w:val="en-US"/>
        </w:rPr>
      </w:pPr>
      <w:r w:rsidRPr="00BC0393">
        <w:rPr>
          <w:rStyle w:val="af5"/>
          <w:lang w:val="en-US"/>
        </w:rPr>
        <w:t xml:space="preserve">               </w:t>
      </w:r>
      <w:r w:rsidR="00ED46B5" w:rsidRPr="00954725">
        <w:rPr>
          <w:rStyle w:val="af5"/>
          <w:lang w:val="en-US"/>
        </w:rPr>
        <w:t xml:space="preserve">6.3.8. </w:t>
      </w:r>
      <w:r w:rsidR="00ED46B5" w:rsidRPr="00ED46B5">
        <w:rPr>
          <w:rStyle w:val="af5"/>
          <w:lang w:val="en-US"/>
        </w:rPr>
        <w:t>Social</w:t>
      </w:r>
    </w:p>
    <w:p w14:paraId="40F48351" w14:textId="4F037057" w:rsidR="002E6FF9" w:rsidRPr="00F469B3" w:rsidRDefault="00F469B3" w:rsidP="002E6FF9">
      <w:pPr>
        <w:tabs>
          <w:tab w:val="left" w:pos="175"/>
        </w:tabs>
        <w:spacing w:after="0" w:line="240" w:lineRule="auto"/>
        <w:ind w:firstLine="709"/>
        <w:contextualSpacing/>
        <w:jc w:val="both"/>
        <w:rPr>
          <w:sz w:val="24"/>
          <w:szCs w:val="24"/>
          <w:highlight w:val="yellow"/>
          <w:lang w:val="en-US"/>
        </w:rPr>
      </w:pPr>
      <w:r w:rsidRPr="00F469B3">
        <w:rPr>
          <w:lang w:val="en-US"/>
        </w:rPr>
        <w:t>The decommissioning of conventional TPPs and the transition of CHPs to natural gas may result in the displacement of a portion of the workforce</w:t>
      </w:r>
      <w:r>
        <w:rPr>
          <w:lang w:val="en-US"/>
        </w:rPr>
        <w:t>.</w:t>
      </w:r>
    </w:p>
    <w:p w14:paraId="7F5E8979" w14:textId="5AD8FDEE" w:rsidR="002E6FF9" w:rsidRPr="00F469B3" w:rsidRDefault="00F469B3" w:rsidP="002E6FF9">
      <w:pPr>
        <w:tabs>
          <w:tab w:val="left" w:pos="175"/>
        </w:tabs>
        <w:spacing w:after="0" w:line="240" w:lineRule="auto"/>
        <w:ind w:firstLine="709"/>
        <w:contextualSpacing/>
        <w:jc w:val="both"/>
        <w:rPr>
          <w:spacing w:val="-6"/>
          <w:sz w:val="24"/>
          <w:szCs w:val="28"/>
          <w:lang w:val="en-US" w:eastAsia="ru-RU"/>
        </w:rPr>
      </w:pPr>
      <w:r w:rsidRPr="00F469B3">
        <w:rPr>
          <w:lang w:val="en-US"/>
        </w:rPr>
        <w:t xml:space="preserve">The implementation of </w:t>
      </w:r>
      <w:r>
        <w:rPr>
          <w:lang w:val="en-US"/>
        </w:rPr>
        <w:t>E</w:t>
      </w:r>
      <w:r w:rsidRPr="00F469B3">
        <w:rPr>
          <w:lang w:val="en-US"/>
        </w:rPr>
        <w:t xml:space="preserve">nergy </w:t>
      </w:r>
      <w:r>
        <w:rPr>
          <w:lang w:val="en-US"/>
        </w:rPr>
        <w:t>T</w:t>
      </w:r>
      <w:r w:rsidRPr="00F469B3">
        <w:rPr>
          <w:lang w:val="en-US"/>
        </w:rPr>
        <w:t xml:space="preserve">ransition </w:t>
      </w:r>
      <w:r>
        <w:rPr>
          <w:lang w:val="en-US"/>
        </w:rPr>
        <w:t xml:space="preserve">Program </w:t>
      </w:r>
      <w:r w:rsidRPr="00F469B3">
        <w:rPr>
          <w:lang w:val="en-US"/>
        </w:rPr>
        <w:t>projects at enterprises vital to local economic stability may have significant social implications</w:t>
      </w:r>
    </w:p>
    <w:p w14:paraId="4571CABF" w14:textId="516831A5" w:rsidR="00ED46B5" w:rsidRPr="00ED46B5" w:rsidRDefault="002E6FF9" w:rsidP="00ED46B5">
      <w:pPr>
        <w:pStyle w:val="a3"/>
        <w:spacing w:before="0" w:beforeAutospacing="0" w:after="0" w:afterAutospacing="0"/>
        <w:jc w:val="both"/>
        <w:rPr>
          <w:lang w:val="en-US"/>
        </w:rPr>
      </w:pPr>
      <w:r w:rsidRPr="00F469B3">
        <w:rPr>
          <w:lang w:val="en-US"/>
        </w:rPr>
        <w:t xml:space="preserve">          </w:t>
      </w:r>
      <w:r w:rsidR="00ED46B5" w:rsidRPr="00ED46B5">
        <w:rPr>
          <w:lang w:val="en-US"/>
        </w:rPr>
        <w:t>To enhance social stability, a comprehensive set of measures is necessary, including addressing the potential retraining of workers to facilitate their employment at new facilities and cooperating with local authorities to jointly develop regional development programs.</w:t>
      </w:r>
    </w:p>
    <w:p w14:paraId="397BD0F6" w14:textId="0F6D4058" w:rsidR="00ED46B5" w:rsidRPr="00ED46B5" w:rsidRDefault="00962946" w:rsidP="00ED46B5">
      <w:pPr>
        <w:pStyle w:val="a3"/>
        <w:rPr>
          <w:lang w:val="en-US"/>
        </w:rPr>
      </w:pPr>
      <w:r w:rsidRPr="00BC0393">
        <w:rPr>
          <w:rStyle w:val="af5"/>
          <w:lang w:val="en-US"/>
        </w:rPr>
        <w:t xml:space="preserve">              </w:t>
      </w:r>
      <w:r w:rsidR="00ED46B5" w:rsidRPr="00ED46B5">
        <w:rPr>
          <w:rStyle w:val="af5"/>
          <w:lang w:val="en-US"/>
        </w:rPr>
        <w:t>6.3.</w:t>
      </w:r>
      <w:r w:rsidR="00ED46B5">
        <w:rPr>
          <w:rStyle w:val="af5"/>
          <w:lang w:val="en-US"/>
        </w:rPr>
        <w:t>9</w:t>
      </w:r>
      <w:r w:rsidR="00ED46B5" w:rsidRPr="00ED46B5">
        <w:rPr>
          <w:rStyle w:val="af5"/>
          <w:lang w:val="en-US"/>
        </w:rPr>
        <w:t>. Currency</w:t>
      </w:r>
    </w:p>
    <w:p w14:paraId="5E0C4375" w14:textId="7E330F7E" w:rsidR="00ED46B5" w:rsidRPr="00ED46B5" w:rsidRDefault="00F45797" w:rsidP="00ED46B5">
      <w:pPr>
        <w:pStyle w:val="a3"/>
        <w:spacing w:before="0" w:beforeAutospacing="0" w:after="0" w:afterAutospacing="0"/>
        <w:jc w:val="both"/>
        <w:rPr>
          <w:lang w:val="en-US"/>
        </w:rPr>
      </w:pPr>
      <w:r w:rsidRPr="00F45797">
        <w:rPr>
          <w:lang w:val="en-US"/>
        </w:rPr>
        <w:t xml:space="preserve">             </w:t>
      </w:r>
      <w:r w:rsidR="00ED46B5" w:rsidRPr="00ED46B5">
        <w:rPr>
          <w:lang w:val="en-US"/>
        </w:rPr>
        <w:t>RES projects require significant capital investments, and most of these projects are financed through borrowed funds in US dollars. Given the consistent trend in exchange rate fluctuations and the high level of dependency on the cost of imported equipment (which constitutes a large portion of project costs), there is a high currency risk that could substantially increase costs and jeopardize the implementation of current and future projects.</w:t>
      </w:r>
    </w:p>
    <w:p w14:paraId="1784D465" w14:textId="07E658BA" w:rsidR="00ED46B5" w:rsidRPr="00ED46B5" w:rsidRDefault="00F45797" w:rsidP="00ED46B5">
      <w:pPr>
        <w:pStyle w:val="a3"/>
        <w:spacing w:before="0" w:beforeAutospacing="0" w:after="0" w:afterAutospacing="0"/>
        <w:jc w:val="both"/>
        <w:rPr>
          <w:lang w:val="en-US"/>
        </w:rPr>
      </w:pPr>
      <w:r w:rsidRPr="00F45797">
        <w:rPr>
          <w:lang w:val="en-US"/>
        </w:rPr>
        <w:t xml:space="preserve">              </w:t>
      </w:r>
      <w:r w:rsidR="00ED46B5" w:rsidRPr="00ED46B5">
        <w:rPr>
          <w:lang w:val="en-US"/>
        </w:rPr>
        <w:t>To mitigate this risk, measures include avoiding the attraction of loans in foreign currency and conducting regular monitoring with timely adjustments to the Program.</w:t>
      </w:r>
    </w:p>
    <w:p w14:paraId="32AF5442" w14:textId="301E29BF" w:rsidR="00521C47" w:rsidRPr="00ED46B5" w:rsidRDefault="00521C47" w:rsidP="00867314">
      <w:pPr>
        <w:tabs>
          <w:tab w:val="left" w:pos="175"/>
        </w:tabs>
        <w:spacing w:after="0" w:line="240" w:lineRule="auto"/>
        <w:ind w:firstLine="567"/>
        <w:contextualSpacing/>
        <w:jc w:val="both"/>
        <w:rPr>
          <w:sz w:val="24"/>
          <w:szCs w:val="24"/>
          <w:lang w:val="en-US" w:eastAsia="ru-RU"/>
        </w:rPr>
      </w:pPr>
    </w:p>
    <w:p w14:paraId="10344FC5" w14:textId="77777777" w:rsidR="00867314" w:rsidRPr="00ED46B5" w:rsidRDefault="00867314" w:rsidP="00867314">
      <w:pPr>
        <w:tabs>
          <w:tab w:val="left" w:pos="175"/>
        </w:tabs>
        <w:spacing w:after="0" w:line="240" w:lineRule="auto"/>
        <w:ind w:firstLine="567"/>
        <w:contextualSpacing/>
        <w:jc w:val="both"/>
        <w:rPr>
          <w:sz w:val="24"/>
          <w:szCs w:val="24"/>
          <w:lang w:val="en-US" w:eastAsia="ru-RU"/>
        </w:rPr>
      </w:pPr>
    </w:p>
    <w:p w14:paraId="0B4045DE" w14:textId="7BAF00B1" w:rsidR="00D54DC5" w:rsidRPr="00B523BC" w:rsidRDefault="00992F26" w:rsidP="00625A42">
      <w:pPr>
        <w:pStyle w:val="10"/>
        <w:numPr>
          <w:ilvl w:val="0"/>
          <w:numId w:val="6"/>
        </w:numPr>
        <w:spacing w:before="0" w:line="240" w:lineRule="auto"/>
        <w:jc w:val="center"/>
        <w:rPr>
          <w:b/>
          <w:color w:val="auto"/>
          <w:sz w:val="24"/>
        </w:rPr>
      </w:pPr>
      <w:bookmarkStart w:id="23" w:name="_Toc190447159"/>
      <w:r>
        <w:rPr>
          <w:b/>
          <w:color w:val="auto"/>
          <w:sz w:val="24"/>
          <w:lang w:val="en-US"/>
        </w:rPr>
        <w:t>Regulatory references</w:t>
      </w:r>
      <w:bookmarkEnd w:id="23"/>
      <w:r>
        <w:rPr>
          <w:b/>
          <w:color w:val="auto"/>
          <w:sz w:val="24"/>
          <w:lang w:val="en-US"/>
        </w:rPr>
        <w:t xml:space="preserve"> </w:t>
      </w:r>
    </w:p>
    <w:p w14:paraId="3BC4F99D" w14:textId="77777777" w:rsidR="00D54DC5" w:rsidRDefault="00D54DC5" w:rsidP="00867314">
      <w:pPr>
        <w:tabs>
          <w:tab w:val="left" w:pos="175"/>
        </w:tabs>
        <w:spacing w:after="0" w:line="240" w:lineRule="auto"/>
        <w:ind w:firstLine="567"/>
        <w:contextualSpacing/>
        <w:jc w:val="both"/>
        <w:rPr>
          <w:sz w:val="24"/>
          <w:szCs w:val="24"/>
          <w:lang w:eastAsia="ru-RU"/>
        </w:rPr>
      </w:pPr>
    </w:p>
    <w:tbl>
      <w:tblPr>
        <w:tblW w:w="5000" w:type="pct"/>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20" w:firstRow="1" w:lastRow="0" w:firstColumn="0" w:lastColumn="0" w:noHBand="0" w:noVBand="1"/>
      </w:tblPr>
      <w:tblGrid>
        <w:gridCol w:w="850"/>
        <w:gridCol w:w="9345"/>
      </w:tblGrid>
      <w:tr w:rsidR="00D54DC5" w:rsidRPr="005D76B4" w14:paraId="4AD28F41" w14:textId="77777777" w:rsidTr="005A16ED">
        <w:trPr>
          <w:trHeight w:val="429"/>
        </w:trPr>
        <w:tc>
          <w:tcPr>
            <w:tcW w:w="417" w:type="pct"/>
            <w:tcBorders>
              <w:right w:val="single" w:sz="4" w:space="0" w:color="FFFFFF"/>
            </w:tcBorders>
            <w:shd w:val="clear" w:color="auto" w:fill="17365D"/>
            <w:vAlign w:val="center"/>
          </w:tcPr>
          <w:p w14:paraId="0EA8DD12" w14:textId="722CF324" w:rsidR="00D54DC5" w:rsidRPr="00992F26" w:rsidRDefault="00992F26" w:rsidP="005A16ED">
            <w:pPr>
              <w:widowControl w:val="0"/>
              <w:tabs>
                <w:tab w:val="left" w:pos="993"/>
              </w:tabs>
              <w:spacing w:after="0" w:line="240" w:lineRule="auto"/>
              <w:contextualSpacing/>
              <w:jc w:val="center"/>
              <w:rPr>
                <w:b/>
                <w:color w:val="FFFFFF"/>
                <w:sz w:val="24"/>
                <w:szCs w:val="24"/>
                <w:lang w:val="en-US" w:eastAsia="ru-RU" w:bidi="ru-RU"/>
              </w:rPr>
            </w:pPr>
            <w:r>
              <w:rPr>
                <w:b/>
                <w:color w:val="FFFFFF"/>
                <w:sz w:val="24"/>
                <w:szCs w:val="24"/>
                <w:lang w:val="en-US" w:eastAsia="ru-RU" w:bidi="ru-RU"/>
              </w:rPr>
              <w:t>No.</w:t>
            </w:r>
          </w:p>
        </w:tc>
        <w:tc>
          <w:tcPr>
            <w:tcW w:w="4583" w:type="pct"/>
            <w:tcBorders>
              <w:left w:val="single" w:sz="4" w:space="0" w:color="FFFFFF"/>
              <w:right w:val="single" w:sz="4" w:space="0" w:color="FFFFFF"/>
            </w:tcBorders>
            <w:shd w:val="clear" w:color="auto" w:fill="17365D"/>
            <w:vAlign w:val="center"/>
          </w:tcPr>
          <w:p w14:paraId="7F35B7A1" w14:textId="4178A610" w:rsidR="00D54DC5" w:rsidRPr="00992F26" w:rsidRDefault="00992F26" w:rsidP="005A16ED">
            <w:pPr>
              <w:widowControl w:val="0"/>
              <w:tabs>
                <w:tab w:val="left" w:pos="993"/>
              </w:tabs>
              <w:spacing w:after="0" w:line="240" w:lineRule="auto"/>
              <w:contextualSpacing/>
              <w:jc w:val="center"/>
              <w:rPr>
                <w:b/>
                <w:color w:val="FFFFFF"/>
                <w:sz w:val="24"/>
                <w:szCs w:val="24"/>
                <w:lang w:val="en-US" w:eastAsia="ru-RU" w:bidi="ru-RU"/>
              </w:rPr>
            </w:pPr>
            <w:r w:rsidRPr="00992F26">
              <w:rPr>
                <w:b/>
                <w:color w:val="FFFFFF"/>
                <w:sz w:val="24"/>
                <w:szCs w:val="24"/>
                <w:lang w:val="en-US" w:eastAsia="ru-RU" w:bidi="ru-RU"/>
              </w:rPr>
              <w:t>D</w:t>
            </w:r>
            <w:proofErr w:type="spellStart"/>
            <w:r w:rsidRPr="00992F26">
              <w:rPr>
                <w:b/>
                <w:color w:val="FFFFFF"/>
                <w:sz w:val="24"/>
                <w:szCs w:val="24"/>
                <w:lang w:eastAsia="ru-RU" w:bidi="ru-RU"/>
              </w:rPr>
              <w:t>oc</w:t>
            </w:r>
            <w:r w:rsidRPr="00992F26">
              <w:rPr>
                <w:b/>
                <w:color w:val="FFFFFF"/>
                <w:sz w:val="24"/>
                <w:szCs w:val="24"/>
                <w:lang w:val="en-US" w:eastAsia="ru-RU" w:bidi="ru-RU"/>
              </w:rPr>
              <w:t>ument</w:t>
            </w:r>
            <w:proofErr w:type="spellEnd"/>
            <w:r w:rsidRPr="00992F26">
              <w:rPr>
                <w:b/>
                <w:color w:val="FFFFFF"/>
                <w:sz w:val="24"/>
                <w:szCs w:val="24"/>
                <w:lang w:val="en-US" w:eastAsia="ru-RU" w:bidi="ru-RU"/>
              </w:rPr>
              <w:t xml:space="preserve"> title </w:t>
            </w:r>
          </w:p>
        </w:tc>
      </w:tr>
      <w:tr w:rsidR="00992F26" w:rsidRPr="00000B35" w14:paraId="3F99F64A" w14:textId="77777777" w:rsidTr="005A16ED">
        <w:trPr>
          <w:trHeight w:val="260"/>
        </w:trPr>
        <w:tc>
          <w:tcPr>
            <w:tcW w:w="417" w:type="pct"/>
            <w:shd w:val="clear" w:color="auto" w:fill="auto"/>
            <w:vAlign w:val="center"/>
          </w:tcPr>
          <w:p w14:paraId="0ACE7C85" w14:textId="77777777" w:rsidR="00992F26" w:rsidRPr="001B2EB5" w:rsidRDefault="00992F26" w:rsidP="00992F26">
            <w:pPr>
              <w:widowControl w:val="0"/>
              <w:tabs>
                <w:tab w:val="left" w:pos="993"/>
              </w:tabs>
              <w:spacing w:after="0" w:line="240" w:lineRule="auto"/>
              <w:contextualSpacing/>
              <w:jc w:val="center"/>
              <w:rPr>
                <w:color w:val="000000"/>
                <w:sz w:val="24"/>
                <w:szCs w:val="24"/>
                <w:lang w:eastAsia="ru-RU" w:bidi="ru-RU"/>
              </w:rPr>
            </w:pPr>
            <w:r w:rsidRPr="00C87B2F">
              <w:rPr>
                <w:color w:val="000000"/>
                <w:sz w:val="24"/>
                <w:szCs w:val="24"/>
                <w:lang w:eastAsia="ru-RU" w:bidi="ru-RU"/>
              </w:rPr>
              <w:t>1</w:t>
            </w:r>
          </w:p>
        </w:tc>
        <w:tc>
          <w:tcPr>
            <w:tcW w:w="4583" w:type="pct"/>
            <w:shd w:val="clear" w:color="auto" w:fill="auto"/>
          </w:tcPr>
          <w:p w14:paraId="2E8BADDE" w14:textId="7DA5127A" w:rsidR="00992F26" w:rsidRPr="00992F26" w:rsidRDefault="00992F26" w:rsidP="00992F26">
            <w:pPr>
              <w:widowControl w:val="0"/>
              <w:spacing w:after="0" w:line="240" w:lineRule="auto"/>
              <w:jc w:val="both"/>
              <w:rPr>
                <w:b/>
                <w:bCs/>
                <w:sz w:val="24"/>
                <w:szCs w:val="24"/>
                <w:lang w:val="en-US"/>
              </w:rPr>
            </w:pPr>
            <w:r w:rsidRPr="00992F26">
              <w:rPr>
                <w:rStyle w:val="af5"/>
                <w:b w:val="0"/>
                <w:bCs w:val="0"/>
                <w:lang w:val="en-US"/>
              </w:rPr>
              <w:t xml:space="preserve">Strategy for </w:t>
            </w:r>
            <w:r>
              <w:rPr>
                <w:rStyle w:val="af5"/>
                <w:b w:val="0"/>
                <w:bCs w:val="0"/>
                <w:lang w:val="en-US"/>
              </w:rPr>
              <w:t>a</w:t>
            </w:r>
            <w:r w:rsidRPr="00992F26">
              <w:rPr>
                <w:rStyle w:val="af5"/>
                <w:b w:val="0"/>
                <w:bCs w:val="0"/>
                <w:lang w:val="en-US"/>
              </w:rPr>
              <w:t xml:space="preserve">chieving </w:t>
            </w:r>
            <w:r>
              <w:rPr>
                <w:rStyle w:val="af5"/>
                <w:b w:val="0"/>
                <w:bCs w:val="0"/>
                <w:lang w:val="en-US"/>
              </w:rPr>
              <w:t>c</w:t>
            </w:r>
            <w:r w:rsidRPr="00992F26">
              <w:rPr>
                <w:rStyle w:val="af5"/>
                <w:b w:val="0"/>
                <w:bCs w:val="0"/>
                <w:lang w:val="en-US"/>
              </w:rPr>
              <w:t xml:space="preserve">arbon </w:t>
            </w:r>
            <w:r>
              <w:rPr>
                <w:rStyle w:val="af5"/>
                <w:b w:val="0"/>
                <w:bCs w:val="0"/>
                <w:lang w:val="en-US"/>
              </w:rPr>
              <w:t>n</w:t>
            </w:r>
            <w:r w:rsidRPr="00992F26">
              <w:rPr>
                <w:rStyle w:val="af5"/>
                <w:b w:val="0"/>
                <w:bCs w:val="0"/>
                <w:lang w:val="en-US"/>
              </w:rPr>
              <w:t>eutrality in Kazakhstan by 2060</w:t>
            </w:r>
            <w:r w:rsidRPr="00992F26">
              <w:rPr>
                <w:b/>
                <w:bCs/>
                <w:lang w:val="en-US"/>
              </w:rPr>
              <w:t xml:space="preserve"> </w:t>
            </w:r>
            <w:r w:rsidRPr="00992F26">
              <w:rPr>
                <w:lang w:val="en-US"/>
              </w:rPr>
              <w:t>(Decree of the President of the Republic of Kazakhstan No. 121, dated 02.02.2023)</w:t>
            </w:r>
          </w:p>
        </w:tc>
      </w:tr>
      <w:tr w:rsidR="00992F26" w:rsidRPr="00000B35" w14:paraId="00CAB5CD" w14:textId="77777777" w:rsidTr="005A16ED">
        <w:tc>
          <w:tcPr>
            <w:tcW w:w="417" w:type="pct"/>
            <w:shd w:val="clear" w:color="auto" w:fill="auto"/>
            <w:vAlign w:val="center"/>
          </w:tcPr>
          <w:p w14:paraId="108A4A28" w14:textId="77777777" w:rsidR="00992F26" w:rsidRPr="006A2018" w:rsidRDefault="00992F26" w:rsidP="00992F26">
            <w:pPr>
              <w:widowControl w:val="0"/>
              <w:tabs>
                <w:tab w:val="left" w:pos="993"/>
              </w:tabs>
              <w:spacing w:after="0" w:line="240" w:lineRule="auto"/>
              <w:contextualSpacing/>
              <w:jc w:val="center"/>
              <w:rPr>
                <w:color w:val="000000"/>
                <w:sz w:val="24"/>
                <w:szCs w:val="24"/>
                <w:lang w:eastAsia="ru-RU" w:bidi="ru-RU"/>
              </w:rPr>
            </w:pPr>
            <w:r w:rsidRPr="006A2018">
              <w:rPr>
                <w:color w:val="000000"/>
                <w:sz w:val="24"/>
                <w:szCs w:val="24"/>
                <w:lang w:eastAsia="ru-RU" w:bidi="ru-RU"/>
              </w:rPr>
              <w:t>2</w:t>
            </w:r>
          </w:p>
        </w:tc>
        <w:tc>
          <w:tcPr>
            <w:tcW w:w="4583" w:type="pct"/>
            <w:shd w:val="clear" w:color="auto" w:fill="auto"/>
          </w:tcPr>
          <w:p w14:paraId="244B88C5" w14:textId="757AEAF8" w:rsidR="00992F26" w:rsidRPr="00992F26" w:rsidRDefault="00992F26" w:rsidP="00992F26">
            <w:pPr>
              <w:widowControl w:val="0"/>
              <w:spacing w:after="0" w:line="240" w:lineRule="auto"/>
              <w:jc w:val="both"/>
              <w:rPr>
                <w:b/>
                <w:bCs/>
                <w:sz w:val="24"/>
                <w:szCs w:val="24"/>
                <w:lang w:val="en-US"/>
              </w:rPr>
            </w:pPr>
            <w:r w:rsidRPr="00992F26">
              <w:rPr>
                <w:rStyle w:val="af5"/>
                <w:b w:val="0"/>
                <w:bCs w:val="0"/>
                <w:lang w:val="en-US"/>
              </w:rPr>
              <w:t>Concept of Low-Carbon Development of Samruk-</w:t>
            </w:r>
            <w:proofErr w:type="spellStart"/>
            <w:r w:rsidRPr="00992F26">
              <w:rPr>
                <w:rStyle w:val="af5"/>
                <w:b w:val="0"/>
                <w:bCs w:val="0"/>
                <w:lang w:val="en-US"/>
              </w:rPr>
              <w:t>Kazyna</w:t>
            </w:r>
            <w:proofErr w:type="spellEnd"/>
            <w:r w:rsidRPr="00992F26">
              <w:rPr>
                <w:rStyle w:val="af5"/>
                <w:b w:val="0"/>
                <w:bCs w:val="0"/>
                <w:lang w:val="en-US"/>
              </w:rPr>
              <w:t xml:space="preserve"> JSC</w:t>
            </w:r>
            <w:r w:rsidRPr="00992F26">
              <w:rPr>
                <w:b/>
                <w:bCs/>
                <w:lang w:val="en-US"/>
              </w:rPr>
              <w:t xml:space="preserve"> </w:t>
            </w:r>
            <w:r w:rsidRPr="00992F26">
              <w:rPr>
                <w:lang w:val="en-US"/>
              </w:rPr>
              <w:t>(</w:t>
            </w:r>
            <w:r>
              <w:rPr>
                <w:lang w:val="en-US"/>
              </w:rPr>
              <w:t>M</w:t>
            </w:r>
            <w:r w:rsidRPr="00992F26">
              <w:rPr>
                <w:lang w:val="en-US"/>
              </w:rPr>
              <w:t xml:space="preserve">inutes of </w:t>
            </w:r>
            <w:r>
              <w:rPr>
                <w:lang w:val="en-US"/>
              </w:rPr>
              <w:t>“Samruk-</w:t>
            </w:r>
            <w:proofErr w:type="spellStart"/>
            <w:r>
              <w:rPr>
                <w:lang w:val="en-US"/>
              </w:rPr>
              <w:t>Kazyna</w:t>
            </w:r>
            <w:proofErr w:type="spellEnd"/>
            <w:r>
              <w:rPr>
                <w:lang w:val="en-US"/>
              </w:rPr>
              <w:t>” JSC</w:t>
            </w:r>
            <w:r w:rsidRPr="00992F26">
              <w:rPr>
                <w:lang w:val="en-US"/>
              </w:rPr>
              <w:t xml:space="preserve"> Board of Directors </w:t>
            </w:r>
            <w:r>
              <w:rPr>
                <w:lang w:val="en-US"/>
              </w:rPr>
              <w:t xml:space="preserve">meeting </w:t>
            </w:r>
            <w:r w:rsidRPr="00992F26">
              <w:rPr>
                <w:lang w:val="en-US"/>
              </w:rPr>
              <w:t>No. 200, dated August 25, 2022)</w:t>
            </w:r>
          </w:p>
        </w:tc>
      </w:tr>
      <w:tr w:rsidR="00992F26" w:rsidRPr="00000B35" w14:paraId="7996CC84" w14:textId="77777777" w:rsidTr="005A16ED">
        <w:tc>
          <w:tcPr>
            <w:tcW w:w="417" w:type="pct"/>
            <w:shd w:val="clear" w:color="auto" w:fill="auto"/>
            <w:vAlign w:val="center"/>
          </w:tcPr>
          <w:p w14:paraId="7BAD30D7" w14:textId="77777777" w:rsidR="00992F26" w:rsidRPr="00F54C72" w:rsidRDefault="00992F26" w:rsidP="00992F26">
            <w:pPr>
              <w:widowControl w:val="0"/>
              <w:tabs>
                <w:tab w:val="left" w:pos="993"/>
              </w:tabs>
              <w:spacing w:after="0" w:line="240" w:lineRule="auto"/>
              <w:contextualSpacing/>
              <w:jc w:val="center"/>
              <w:rPr>
                <w:color w:val="000000"/>
                <w:sz w:val="24"/>
                <w:szCs w:val="24"/>
                <w:lang w:eastAsia="ru-RU" w:bidi="ru-RU"/>
              </w:rPr>
            </w:pPr>
            <w:r w:rsidRPr="00F54C72">
              <w:rPr>
                <w:color w:val="000000"/>
                <w:sz w:val="24"/>
                <w:szCs w:val="24"/>
                <w:lang w:eastAsia="ru-RU" w:bidi="ru-RU"/>
              </w:rPr>
              <w:t>3</w:t>
            </w:r>
          </w:p>
        </w:tc>
        <w:tc>
          <w:tcPr>
            <w:tcW w:w="4583" w:type="pct"/>
            <w:shd w:val="clear" w:color="auto" w:fill="auto"/>
          </w:tcPr>
          <w:p w14:paraId="3E37B13A" w14:textId="2BC3C923" w:rsidR="00992F26" w:rsidRPr="00992F26" w:rsidRDefault="00992F26" w:rsidP="00992F26">
            <w:pPr>
              <w:widowControl w:val="0"/>
              <w:tabs>
                <w:tab w:val="left" w:pos="993"/>
              </w:tabs>
              <w:spacing w:after="0" w:line="240" w:lineRule="auto"/>
              <w:contextualSpacing/>
              <w:jc w:val="both"/>
              <w:rPr>
                <w:b/>
                <w:bCs/>
                <w:color w:val="000000"/>
                <w:sz w:val="24"/>
                <w:szCs w:val="24"/>
                <w:lang w:val="en-US" w:eastAsia="ru-RU" w:bidi="ru-RU"/>
              </w:rPr>
            </w:pPr>
            <w:r w:rsidRPr="00992F26">
              <w:rPr>
                <w:rStyle w:val="af5"/>
                <w:b w:val="0"/>
                <w:bCs w:val="0"/>
                <w:lang w:val="en-US"/>
              </w:rPr>
              <w:t xml:space="preserve">Development Strategy of </w:t>
            </w:r>
            <w:r>
              <w:rPr>
                <w:rStyle w:val="af5"/>
                <w:b w:val="0"/>
                <w:bCs w:val="0"/>
                <w:lang w:val="en-US"/>
              </w:rPr>
              <w:t>“</w:t>
            </w:r>
            <w:r w:rsidRPr="00992F26">
              <w:rPr>
                <w:rStyle w:val="af5"/>
                <w:b w:val="0"/>
                <w:bCs w:val="0"/>
                <w:lang w:val="en-US"/>
              </w:rPr>
              <w:t>Samruk-Energy</w:t>
            </w:r>
            <w:r>
              <w:rPr>
                <w:rStyle w:val="af5"/>
                <w:b w:val="0"/>
                <w:bCs w:val="0"/>
                <w:lang w:val="en-US"/>
              </w:rPr>
              <w:t>”</w:t>
            </w:r>
            <w:r w:rsidRPr="00992F26">
              <w:rPr>
                <w:rStyle w:val="af5"/>
                <w:b w:val="0"/>
                <w:bCs w:val="0"/>
                <w:lang w:val="en-US"/>
              </w:rPr>
              <w:t xml:space="preserve"> JSC for 2024-2033</w:t>
            </w:r>
            <w:r w:rsidRPr="00992F26">
              <w:rPr>
                <w:lang w:val="en-US"/>
              </w:rPr>
              <w:t xml:space="preserve"> (Minutes of the Board of Directors meeting No. 09/24, dated 19.07.2024)</w:t>
            </w:r>
          </w:p>
        </w:tc>
      </w:tr>
      <w:tr w:rsidR="00992F26" w:rsidRPr="00000B35" w14:paraId="7A8E9C12" w14:textId="77777777" w:rsidTr="004314A9">
        <w:trPr>
          <w:trHeight w:val="308"/>
        </w:trPr>
        <w:tc>
          <w:tcPr>
            <w:tcW w:w="417" w:type="pct"/>
            <w:shd w:val="clear" w:color="auto" w:fill="auto"/>
            <w:vAlign w:val="center"/>
          </w:tcPr>
          <w:p w14:paraId="2930EAFA" w14:textId="77777777" w:rsidR="00992F26" w:rsidRPr="009E6D9B" w:rsidRDefault="00992F26" w:rsidP="00992F26">
            <w:pPr>
              <w:widowControl w:val="0"/>
              <w:tabs>
                <w:tab w:val="left" w:pos="993"/>
              </w:tabs>
              <w:spacing w:after="0" w:line="240" w:lineRule="auto"/>
              <w:contextualSpacing/>
              <w:jc w:val="center"/>
              <w:rPr>
                <w:color w:val="000000"/>
                <w:sz w:val="24"/>
                <w:szCs w:val="24"/>
                <w:lang w:eastAsia="ru-RU" w:bidi="ru-RU"/>
              </w:rPr>
            </w:pPr>
            <w:r w:rsidRPr="009E6D9B">
              <w:rPr>
                <w:color w:val="000000"/>
                <w:sz w:val="24"/>
                <w:szCs w:val="24"/>
                <w:lang w:eastAsia="ru-RU" w:bidi="ru-RU"/>
              </w:rPr>
              <w:t>4</w:t>
            </w:r>
          </w:p>
        </w:tc>
        <w:tc>
          <w:tcPr>
            <w:tcW w:w="4583" w:type="pct"/>
            <w:shd w:val="clear" w:color="auto" w:fill="auto"/>
          </w:tcPr>
          <w:p w14:paraId="54B33895" w14:textId="5EF61D71" w:rsidR="00992F26" w:rsidRPr="00992F26" w:rsidRDefault="00992F26" w:rsidP="00992F26">
            <w:pPr>
              <w:widowControl w:val="0"/>
              <w:spacing w:after="0" w:line="240" w:lineRule="auto"/>
              <w:rPr>
                <w:b/>
                <w:bCs/>
                <w:sz w:val="24"/>
                <w:szCs w:val="24"/>
                <w:lang w:val="en-US"/>
              </w:rPr>
            </w:pPr>
            <w:r w:rsidRPr="00992F26">
              <w:rPr>
                <w:rStyle w:val="af5"/>
                <w:b w:val="0"/>
                <w:bCs w:val="0"/>
                <w:lang w:val="en-US"/>
              </w:rPr>
              <w:t xml:space="preserve">Legislation of the Republic of Kazakhstan in </w:t>
            </w:r>
            <w:r>
              <w:rPr>
                <w:rStyle w:val="af5"/>
                <w:b w:val="0"/>
                <w:bCs w:val="0"/>
                <w:lang w:val="en-US"/>
              </w:rPr>
              <w:t>c</w:t>
            </w:r>
            <w:r w:rsidRPr="00992F26">
              <w:rPr>
                <w:rStyle w:val="af5"/>
                <w:b w:val="0"/>
                <w:bCs w:val="0"/>
                <w:lang w:val="en-US"/>
              </w:rPr>
              <w:t>limate and</w:t>
            </w:r>
            <w:r>
              <w:rPr>
                <w:rStyle w:val="af5"/>
                <w:b w:val="0"/>
                <w:bCs w:val="0"/>
                <w:lang w:val="en-US"/>
              </w:rPr>
              <w:t xml:space="preserve"> e</w:t>
            </w:r>
            <w:r w:rsidRPr="00992F26">
              <w:rPr>
                <w:rStyle w:val="af5"/>
                <w:b w:val="0"/>
                <w:bCs w:val="0"/>
                <w:lang w:val="en-US"/>
              </w:rPr>
              <w:t xml:space="preserve">nvironmental </w:t>
            </w:r>
            <w:r>
              <w:rPr>
                <w:rStyle w:val="af5"/>
                <w:b w:val="0"/>
                <w:bCs w:val="0"/>
                <w:lang w:val="en-US"/>
              </w:rPr>
              <w:t>d</w:t>
            </w:r>
            <w:r w:rsidRPr="00992F26">
              <w:rPr>
                <w:rStyle w:val="af5"/>
                <w:b w:val="0"/>
                <w:bCs w:val="0"/>
                <w:lang w:val="en-US"/>
              </w:rPr>
              <w:t>evelopment</w:t>
            </w:r>
          </w:p>
        </w:tc>
      </w:tr>
    </w:tbl>
    <w:p w14:paraId="4C06469D" w14:textId="77777777" w:rsidR="00D54DC5" w:rsidRPr="00992F26" w:rsidRDefault="00D54DC5" w:rsidP="00EB20E2">
      <w:pPr>
        <w:tabs>
          <w:tab w:val="left" w:pos="175"/>
        </w:tabs>
        <w:spacing w:after="0" w:line="240" w:lineRule="auto"/>
        <w:contextualSpacing/>
        <w:jc w:val="both"/>
        <w:rPr>
          <w:sz w:val="24"/>
          <w:szCs w:val="24"/>
          <w:lang w:val="en-US" w:eastAsia="ru-RU"/>
        </w:rPr>
      </w:pPr>
    </w:p>
    <w:sectPr w:rsidR="00D54DC5" w:rsidRPr="00992F26" w:rsidSect="006F648C">
      <w:headerReference w:type="default" r:id="rId17"/>
      <w:pgSz w:w="11906" w:h="16838"/>
      <w:pgMar w:top="567" w:right="567" w:bottom="851" w:left="1134" w:header="709" w:footer="4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6FD26" w14:textId="77777777" w:rsidR="00A918E2" w:rsidRDefault="00A918E2" w:rsidP="00D1571C">
      <w:pPr>
        <w:spacing w:after="0" w:line="240" w:lineRule="auto"/>
      </w:pPr>
      <w:r>
        <w:separator/>
      </w:r>
    </w:p>
  </w:endnote>
  <w:endnote w:type="continuationSeparator" w:id="0">
    <w:p w14:paraId="5B588718" w14:textId="77777777" w:rsidR="00A918E2" w:rsidRDefault="00A918E2" w:rsidP="00D1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Arial"/>
    <w:panose1 w:val="00000000000000000000"/>
    <w:charset w:val="00"/>
    <w:family w:val="modern"/>
    <w:notTrueType/>
    <w:pitch w:val="variable"/>
    <w:sig w:usb0="00000001" w:usb1="5000206B"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33251" w14:textId="77777777" w:rsidR="00A918E2" w:rsidRDefault="00A918E2" w:rsidP="00D1571C">
      <w:pPr>
        <w:spacing w:after="0" w:line="240" w:lineRule="auto"/>
      </w:pPr>
      <w:r>
        <w:separator/>
      </w:r>
    </w:p>
  </w:footnote>
  <w:footnote w:type="continuationSeparator" w:id="0">
    <w:p w14:paraId="47463089" w14:textId="77777777" w:rsidR="00A918E2" w:rsidRDefault="00A918E2" w:rsidP="00D1571C">
      <w:pPr>
        <w:spacing w:after="0" w:line="240" w:lineRule="auto"/>
      </w:pPr>
      <w:r>
        <w:continuationSeparator/>
      </w:r>
    </w:p>
  </w:footnote>
  <w:footnote w:id="1">
    <w:p w14:paraId="4F12C5D2" w14:textId="77777777" w:rsidR="00880769" w:rsidRDefault="00880769">
      <w:pPr>
        <w:pStyle w:val="afc"/>
      </w:pPr>
      <w:r>
        <w:rPr>
          <w:rStyle w:val="afe"/>
        </w:rPr>
        <w:footnoteRef/>
      </w:r>
      <w:r>
        <w:t xml:space="preserve"> </w:t>
      </w:r>
      <w:hyperlink r:id="rId1" w:history="1">
        <w:r w:rsidRPr="00625AF1">
          <w:rPr>
            <w:rStyle w:val="a9"/>
            <w:i/>
            <w:spacing w:val="2"/>
            <w:sz w:val="16"/>
            <w:szCs w:val="16"/>
          </w:rPr>
          <w:t>https://www.iea.org/countries/kazakhstan/emissions</w:t>
        </w:r>
      </w:hyperlink>
    </w:p>
  </w:footnote>
  <w:footnote w:id="2">
    <w:p w14:paraId="5C6D916C" w14:textId="61060A36" w:rsidR="00880769" w:rsidRPr="00917AC8" w:rsidRDefault="00880769" w:rsidP="004A31DC">
      <w:pPr>
        <w:pStyle w:val="afc"/>
        <w:ind w:firstLine="426"/>
        <w:rPr>
          <w:lang w:val="en-US"/>
        </w:rPr>
      </w:pPr>
      <w:r>
        <w:rPr>
          <w:rStyle w:val="afe"/>
          <w:lang w:val="en-US"/>
        </w:rPr>
        <w:t>4</w:t>
      </w:r>
      <w:r w:rsidRPr="00917AC8">
        <w:rPr>
          <w:lang w:val="en-US"/>
        </w:rPr>
        <w:t xml:space="preserve"> </w:t>
      </w:r>
      <w:r w:rsidRPr="00917AC8">
        <w:rPr>
          <w:i/>
          <w:iCs/>
          <w:lang w:val="en-US"/>
        </w:rPr>
        <w:t>"Development Strategy of "Samruk-Energy" JSC for 2024-2033," Section 3.2.1.</w:t>
      </w:r>
    </w:p>
  </w:footnote>
  <w:footnote w:id="3">
    <w:p w14:paraId="7270B360" w14:textId="27073C86" w:rsidR="00880769" w:rsidRPr="00917AC8" w:rsidRDefault="00880769" w:rsidP="00625AF1">
      <w:pPr>
        <w:spacing w:after="0" w:line="240" w:lineRule="auto"/>
        <w:ind w:firstLine="426"/>
        <w:jc w:val="both"/>
        <w:rPr>
          <w:i/>
          <w:iCs/>
          <w:spacing w:val="2"/>
          <w:sz w:val="20"/>
          <w:szCs w:val="20"/>
          <w:lang w:val="en-US"/>
        </w:rPr>
      </w:pPr>
      <w:r>
        <w:rPr>
          <w:rStyle w:val="afe"/>
          <w:lang w:val="en-US"/>
        </w:rPr>
        <w:t>5</w:t>
      </w:r>
      <w:r w:rsidRPr="00917AC8">
        <w:rPr>
          <w:lang w:val="en-US"/>
        </w:rPr>
        <w:t xml:space="preserve"> </w:t>
      </w:r>
      <w:r w:rsidRPr="00917AC8">
        <w:rPr>
          <w:i/>
          <w:iCs/>
          <w:sz w:val="20"/>
          <w:szCs w:val="20"/>
          <w:lang w:val="en-US"/>
        </w:rPr>
        <w:t>According to the Sustainability Reporting Standard on Emissions, GRI 305: Emissions 2016 Topic Standard, greenhouse gases include Carbon Dioxide (CO₂), Methane (CH₄), Nitrous Oxide (N₂O), Hydrofluorocarbons (HFCs), Perfluorocarbons (PFCs), Sulfur Hexafluoride (SF₆), and Nitrogen Trifluoride (NF₃).</w:t>
      </w:r>
    </w:p>
  </w:footnote>
  <w:footnote w:id="4">
    <w:p w14:paraId="37A62D6E" w14:textId="29C8C281" w:rsidR="00880769" w:rsidRPr="00B51036" w:rsidRDefault="00880769" w:rsidP="00B51036">
      <w:pPr>
        <w:pStyle w:val="afc"/>
        <w:rPr>
          <w:rStyle w:val="afe"/>
          <w:lang w:val="en-US"/>
        </w:rPr>
      </w:pPr>
      <w:r w:rsidRPr="00B51036">
        <w:rPr>
          <w:vertAlign w:val="superscript"/>
          <w:lang w:val="en-US"/>
        </w:rPr>
        <w:t xml:space="preserve">6 - </w:t>
      </w:r>
      <w:r w:rsidRPr="0064641A">
        <w:rPr>
          <w:i/>
          <w:sz w:val="16"/>
          <w:szCs w:val="16"/>
          <w:lang w:val="en-US"/>
        </w:rPr>
        <w:t>Setting targets for Scope 3, in cases where the relevant and mandatory Scope 3 emissions account for 40% or more of the total emissions from Scope 1, 2, and 3</w:t>
      </w:r>
    </w:p>
    <w:p w14:paraId="1C05A4E1" w14:textId="7E6BE73F" w:rsidR="00880769" w:rsidRPr="00B51036" w:rsidRDefault="00880769" w:rsidP="00B51036">
      <w:pPr>
        <w:pStyle w:val="afc"/>
        <w:rPr>
          <w:lang w:val="en-US"/>
        </w:rPr>
      </w:pPr>
      <w:r w:rsidRPr="00B51036">
        <w:rPr>
          <w:rStyle w:val="afe"/>
          <w:lang w:val="en-US"/>
        </w:rPr>
        <w:t>7</w:t>
      </w:r>
      <w:r w:rsidRPr="00B51036">
        <w:rPr>
          <w:lang w:val="en-US"/>
        </w:rPr>
        <w:t xml:space="preserve"> </w:t>
      </w:r>
      <w:r w:rsidRPr="00B51036">
        <w:rPr>
          <w:i/>
          <w:sz w:val="16"/>
          <w:szCs w:val="16"/>
          <w:lang w:val="en-US"/>
        </w:rPr>
        <w:t xml:space="preserve">Scope 3 emissions, according to the GHG Protocol (Corporate Value Chain Scope 3 Standard), are divided into 15 categories covering various aspects of the supply chain: purchased goods and services, transportation, emissions from product use, investments, emissions related to end-of-life treatment, and other indirect emissions. The selection of a categorization suitable for the Company’s </w:t>
      </w:r>
      <w:r>
        <w:rPr>
          <w:i/>
          <w:sz w:val="16"/>
          <w:szCs w:val="16"/>
          <w:lang w:val="en-US"/>
        </w:rPr>
        <w:t>operations</w:t>
      </w:r>
      <w:r w:rsidRPr="00B51036">
        <w:rPr>
          <w:i/>
          <w:sz w:val="16"/>
          <w:szCs w:val="16"/>
          <w:lang w:val="en-US"/>
        </w:rPr>
        <w:t xml:space="preserve"> is planned for </w:t>
      </w:r>
      <w:r>
        <w:rPr>
          <w:i/>
          <w:sz w:val="16"/>
          <w:szCs w:val="16"/>
          <w:lang w:val="en-US"/>
        </w:rPr>
        <w:t>2026</w:t>
      </w:r>
    </w:p>
  </w:footnote>
  <w:footnote w:id="5">
    <w:p w14:paraId="182650D6" w14:textId="582A35F2" w:rsidR="00880769" w:rsidRPr="00173320" w:rsidRDefault="00880769">
      <w:pPr>
        <w:pStyle w:val="afc"/>
        <w:rPr>
          <w:lang w:val="en-US"/>
        </w:rPr>
      </w:pPr>
      <w:r w:rsidRPr="00173320">
        <w:rPr>
          <w:rStyle w:val="afe"/>
          <w:lang w:val="en-US"/>
        </w:rPr>
        <w:t>9</w:t>
      </w:r>
      <w:r w:rsidRPr="00173320">
        <w:rPr>
          <w:lang w:val="en-US"/>
        </w:rPr>
        <w:t xml:space="preserve"> See the Development Strategy of </w:t>
      </w:r>
      <w:r>
        <w:rPr>
          <w:lang w:val="en-US"/>
        </w:rPr>
        <w:t>“</w:t>
      </w:r>
      <w:r w:rsidRPr="00173320">
        <w:rPr>
          <w:lang w:val="en-US"/>
        </w:rPr>
        <w:t>Samruk-Energy</w:t>
      </w:r>
      <w:r>
        <w:rPr>
          <w:lang w:val="en-US"/>
        </w:rPr>
        <w:t>”</w:t>
      </w:r>
      <w:r w:rsidRPr="00173320">
        <w:rPr>
          <w:lang w:val="en-US"/>
        </w:rPr>
        <w:t xml:space="preserve"> </w:t>
      </w:r>
      <w:r>
        <w:rPr>
          <w:lang w:val="en-US"/>
        </w:rPr>
        <w:t xml:space="preserve">JSC </w:t>
      </w:r>
      <w:r w:rsidRPr="00173320">
        <w:rPr>
          <w:lang w:val="en-US"/>
        </w:rPr>
        <w:t>for 2024-2033, Strategic Direction - Efficiency."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2" w:type="pct"/>
      <w:jc w:val="center"/>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ook w:val="01E0" w:firstRow="1" w:lastRow="1" w:firstColumn="1" w:lastColumn="1" w:noHBand="0" w:noVBand="0"/>
    </w:tblPr>
    <w:tblGrid>
      <w:gridCol w:w="1697"/>
      <w:gridCol w:w="6236"/>
      <w:gridCol w:w="2266"/>
    </w:tblGrid>
    <w:tr w:rsidR="00880769" w:rsidRPr="006D398C" w14:paraId="5A175FCA" w14:textId="77777777" w:rsidTr="00AC7462">
      <w:trPr>
        <w:trHeight w:val="567"/>
        <w:jc w:val="center"/>
      </w:trPr>
      <w:tc>
        <w:tcPr>
          <w:tcW w:w="832" w:type="pct"/>
          <w:vMerge w:val="restart"/>
          <w:vAlign w:val="center"/>
        </w:tcPr>
        <w:p w14:paraId="6F71FD23" w14:textId="77777777" w:rsidR="00880769" w:rsidRPr="0081679C" w:rsidRDefault="00880769" w:rsidP="0010656F">
          <w:pPr>
            <w:tabs>
              <w:tab w:val="left" w:pos="1086"/>
            </w:tabs>
            <w:spacing w:after="0" w:line="240" w:lineRule="auto"/>
            <w:contextualSpacing/>
            <w:jc w:val="center"/>
            <w:rPr>
              <w:b/>
              <w:bCs/>
              <w:color w:val="222A35" w:themeColor="text2" w:themeShade="80"/>
              <w:szCs w:val="24"/>
            </w:rPr>
          </w:pPr>
          <w:r w:rsidRPr="0010656F">
            <w:rPr>
              <w:b/>
              <w:noProof/>
              <w:color w:val="222A35" w:themeColor="text2" w:themeShade="80"/>
              <w:lang w:eastAsia="ru-RU"/>
            </w:rPr>
            <w:drawing>
              <wp:inline distT="0" distB="0" distL="0" distR="0" wp14:anchorId="4F0A017C" wp14:editId="4DE7C238">
                <wp:extent cx="619125" cy="560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6" cy="574785"/>
                        </a:xfrm>
                        <a:prstGeom prst="rect">
                          <a:avLst/>
                        </a:prstGeom>
                        <a:noFill/>
                        <a:ln>
                          <a:noFill/>
                        </a:ln>
                      </pic:spPr>
                    </pic:pic>
                  </a:graphicData>
                </a:graphic>
              </wp:inline>
            </w:drawing>
          </w:r>
        </w:p>
      </w:tc>
      <w:tc>
        <w:tcPr>
          <w:tcW w:w="3057" w:type="pct"/>
          <w:vMerge w:val="restart"/>
          <w:vAlign w:val="center"/>
        </w:tcPr>
        <w:p w14:paraId="0C878B29" w14:textId="48736AC5" w:rsidR="00880769" w:rsidRPr="00C0671D" w:rsidRDefault="00880769" w:rsidP="00DB2406">
          <w:pPr>
            <w:pStyle w:val="af7"/>
            <w:tabs>
              <w:tab w:val="left" w:pos="142"/>
              <w:tab w:val="left" w:pos="993"/>
            </w:tabs>
            <w:kinsoku w:val="0"/>
            <w:overflowPunct w:val="0"/>
            <w:autoSpaceDE w:val="0"/>
            <w:autoSpaceDN w:val="0"/>
            <w:adjustRightInd w:val="0"/>
            <w:ind w:left="175" w:right="108" w:firstLine="0"/>
            <w:contextualSpacing/>
            <w:jc w:val="center"/>
            <w:rPr>
              <w:rFonts w:cs="Times New Roman"/>
              <w:b/>
              <w:noProof/>
              <w:color w:val="222A35" w:themeColor="text2" w:themeShade="80"/>
              <w:sz w:val="24"/>
              <w:szCs w:val="24"/>
              <w:lang w:eastAsia="ru-RU"/>
            </w:rPr>
          </w:pPr>
          <w:r>
            <w:rPr>
              <w:rFonts w:cs="Times New Roman"/>
              <w:b/>
              <w:noProof/>
              <w:color w:val="222A35" w:themeColor="text2" w:themeShade="80"/>
              <w:sz w:val="24"/>
              <w:szCs w:val="24"/>
              <w:lang w:eastAsia="ru-RU"/>
            </w:rPr>
            <w:t xml:space="preserve">Energy transition program of “Samruk-Energy” JSC until 2060 </w:t>
          </w:r>
        </w:p>
      </w:tc>
      <w:tc>
        <w:tcPr>
          <w:tcW w:w="1111" w:type="pct"/>
          <w:vAlign w:val="center"/>
        </w:tcPr>
        <w:p w14:paraId="46F25799" w14:textId="3095418D" w:rsidR="00880769" w:rsidRPr="00176406" w:rsidRDefault="00880769" w:rsidP="00891A33">
          <w:pPr>
            <w:pStyle w:val="af7"/>
            <w:tabs>
              <w:tab w:val="left" w:pos="142"/>
              <w:tab w:val="left" w:pos="993"/>
            </w:tabs>
            <w:kinsoku w:val="0"/>
            <w:overflowPunct w:val="0"/>
            <w:autoSpaceDE w:val="0"/>
            <w:autoSpaceDN w:val="0"/>
            <w:adjustRightInd w:val="0"/>
            <w:ind w:left="175" w:right="108" w:firstLine="0"/>
            <w:contextualSpacing/>
            <w:jc w:val="center"/>
            <w:rPr>
              <w:rFonts w:cs="Times New Roman"/>
              <w:b/>
              <w:noProof/>
              <w:color w:val="222A35" w:themeColor="text2" w:themeShade="80"/>
              <w:sz w:val="24"/>
              <w:szCs w:val="24"/>
              <w:lang w:val="ru-RU" w:eastAsia="ru-RU"/>
            </w:rPr>
          </w:pPr>
          <w:r>
            <w:rPr>
              <w:rFonts w:cs="Times New Roman"/>
              <w:b/>
              <w:noProof/>
              <w:color w:val="222A35" w:themeColor="text2" w:themeShade="80"/>
              <w:sz w:val="24"/>
              <w:szCs w:val="24"/>
              <w:lang w:eastAsia="ru-RU"/>
            </w:rPr>
            <w:t>Edition</w:t>
          </w:r>
          <w:r w:rsidRPr="00176406">
            <w:rPr>
              <w:rFonts w:cs="Times New Roman"/>
              <w:b/>
              <w:noProof/>
              <w:color w:val="222A35" w:themeColor="text2" w:themeShade="80"/>
              <w:sz w:val="24"/>
              <w:szCs w:val="24"/>
              <w:lang w:val="ru-RU" w:eastAsia="ru-RU"/>
            </w:rPr>
            <w:t xml:space="preserve"> </w:t>
          </w:r>
          <w:r>
            <w:rPr>
              <w:rFonts w:cs="Times New Roman"/>
              <w:b/>
              <w:noProof/>
              <w:color w:val="222A35" w:themeColor="text2" w:themeShade="80"/>
              <w:sz w:val="24"/>
              <w:szCs w:val="24"/>
              <w:lang w:val="ru-RU" w:eastAsia="ru-RU"/>
            </w:rPr>
            <w:t>2</w:t>
          </w:r>
        </w:p>
      </w:tc>
    </w:tr>
    <w:tr w:rsidR="00880769" w:rsidRPr="00CD4DBD" w14:paraId="7F76F1F4" w14:textId="77777777" w:rsidTr="0010656F">
      <w:trPr>
        <w:trHeight w:val="418"/>
        <w:jc w:val="center"/>
      </w:trPr>
      <w:tc>
        <w:tcPr>
          <w:tcW w:w="832" w:type="pct"/>
          <w:vMerge/>
        </w:tcPr>
        <w:p w14:paraId="4DC2A36C" w14:textId="77777777" w:rsidR="00880769" w:rsidRPr="0081679C" w:rsidRDefault="00880769" w:rsidP="0010656F">
          <w:pPr>
            <w:spacing w:after="0" w:line="240" w:lineRule="auto"/>
            <w:contextualSpacing/>
            <w:rPr>
              <w:b/>
              <w:bCs/>
              <w:color w:val="222A35" w:themeColor="text2" w:themeShade="80"/>
              <w:sz w:val="26"/>
              <w:szCs w:val="26"/>
            </w:rPr>
          </w:pPr>
        </w:p>
      </w:tc>
      <w:tc>
        <w:tcPr>
          <w:tcW w:w="3057" w:type="pct"/>
          <w:vMerge/>
          <w:vAlign w:val="center"/>
        </w:tcPr>
        <w:p w14:paraId="3F04344F" w14:textId="77777777" w:rsidR="00880769" w:rsidRPr="00176406" w:rsidRDefault="00880769" w:rsidP="0010656F">
          <w:pPr>
            <w:tabs>
              <w:tab w:val="left" w:pos="1086"/>
            </w:tabs>
            <w:spacing w:after="0" w:line="240" w:lineRule="auto"/>
            <w:contextualSpacing/>
            <w:jc w:val="center"/>
            <w:rPr>
              <w:b/>
              <w:noProof/>
              <w:color w:val="222A35" w:themeColor="text2" w:themeShade="80"/>
              <w:sz w:val="24"/>
              <w:szCs w:val="24"/>
              <w:lang w:eastAsia="ru-RU"/>
            </w:rPr>
          </w:pPr>
        </w:p>
      </w:tc>
      <w:tc>
        <w:tcPr>
          <w:tcW w:w="1111" w:type="pct"/>
          <w:vAlign w:val="center"/>
        </w:tcPr>
        <w:p w14:paraId="1F579EE1" w14:textId="3E664519" w:rsidR="00880769" w:rsidRPr="00176406" w:rsidRDefault="00880769" w:rsidP="0010656F">
          <w:pPr>
            <w:tabs>
              <w:tab w:val="left" w:pos="1086"/>
            </w:tabs>
            <w:spacing w:after="0" w:line="240" w:lineRule="auto"/>
            <w:contextualSpacing/>
            <w:jc w:val="center"/>
            <w:rPr>
              <w:b/>
              <w:noProof/>
              <w:color w:val="222A35" w:themeColor="text2" w:themeShade="80"/>
              <w:sz w:val="24"/>
              <w:szCs w:val="24"/>
              <w:lang w:eastAsia="ru-RU"/>
            </w:rPr>
          </w:pPr>
          <w:r>
            <w:rPr>
              <w:b/>
              <w:noProof/>
              <w:color w:val="222A35" w:themeColor="text2" w:themeShade="80"/>
              <w:sz w:val="24"/>
              <w:szCs w:val="24"/>
              <w:lang w:val="en-US" w:eastAsia="ru-RU"/>
            </w:rPr>
            <w:t>Page</w:t>
          </w:r>
          <w:r w:rsidRPr="00176406">
            <w:rPr>
              <w:b/>
              <w:noProof/>
              <w:color w:val="222A35" w:themeColor="text2" w:themeShade="80"/>
              <w:sz w:val="24"/>
              <w:szCs w:val="24"/>
              <w:lang w:eastAsia="ru-RU"/>
            </w:rPr>
            <w:t xml:space="preserve"> </w:t>
          </w:r>
          <w:r w:rsidRPr="00176406">
            <w:rPr>
              <w:b/>
              <w:noProof/>
              <w:color w:val="222A35" w:themeColor="text2" w:themeShade="80"/>
              <w:sz w:val="24"/>
              <w:lang w:eastAsia="ru-RU"/>
            </w:rPr>
            <w:fldChar w:fldCharType="begin"/>
          </w:r>
          <w:r w:rsidRPr="00176406">
            <w:rPr>
              <w:b/>
              <w:noProof/>
              <w:color w:val="222A35" w:themeColor="text2" w:themeShade="80"/>
              <w:sz w:val="24"/>
              <w:lang w:eastAsia="ru-RU"/>
            </w:rPr>
            <w:instrText xml:space="preserve"> PAGE </w:instrText>
          </w:r>
          <w:r w:rsidRPr="00176406">
            <w:rPr>
              <w:b/>
              <w:noProof/>
              <w:color w:val="222A35" w:themeColor="text2" w:themeShade="80"/>
              <w:sz w:val="24"/>
              <w:lang w:eastAsia="ru-RU"/>
            </w:rPr>
            <w:fldChar w:fldCharType="separate"/>
          </w:r>
          <w:r w:rsidR="00000B35">
            <w:rPr>
              <w:b/>
              <w:noProof/>
              <w:color w:val="222A35" w:themeColor="text2" w:themeShade="80"/>
              <w:sz w:val="24"/>
              <w:lang w:eastAsia="ru-RU"/>
            </w:rPr>
            <w:t>9</w:t>
          </w:r>
          <w:r w:rsidRPr="00176406">
            <w:rPr>
              <w:b/>
              <w:noProof/>
              <w:color w:val="222A35" w:themeColor="text2" w:themeShade="80"/>
              <w:sz w:val="24"/>
              <w:lang w:eastAsia="ru-RU"/>
            </w:rPr>
            <w:fldChar w:fldCharType="end"/>
          </w:r>
          <w:r w:rsidRPr="00176406">
            <w:rPr>
              <w:b/>
              <w:noProof/>
              <w:color w:val="222A35" w:themeColor="text2" w:themeShade="80"/>
              <w:sz w:val="24"/>
              <w:lang w:eastAsia="ru-RU"/>
            </w:rPr>
            <w:t xml:space="preserve"> </w:t>
          </w:r>
          <w:r>
            <w:rPr>
              <w:b/>
              <w:noProof/>
              <w:color w:val="222A35" w:themeColor="text2" w:themeShade="80"/>
              <w:sz w:val="24"/>
              <w:lang w:val="en-US" w:eastAsia="ru-RU"/>
            </w:rPr>
            <w:t>of</w:t>
          </w:r>
          <w:r w:rsidRPr="00176406">
            <w:rPr>
              <w:b/>
              <w:noProof/>
              <w:color w:val="222A35" w:themeColor="text2" w:themeShade="80"/>
              <w:sz w:val="24"/>
              <w:szCs w:val="24"/>
              <w:lang w:eastAsia="ru-RU"/>
            </w:rPr>
            <w:t xml:space="preserve"> </w:t>
          </w:r>
          <w:r w:rsidRPr="00176406">
            <w:rPr>
              <w:b/>
              <w:noProof/>
              <w:color w:val="222A35" w:themeColor="text2" w:themeShade="80"/>
              <w:sz w:val="24"/>
              <w:lang w:eastAsia="ru-RU"/>
            </w:rPr>
            <w:fldChar w:fldCharType="begin"/>
          </w:r>
          <w:r w:rsidRPr="00176406">
            <w:rPr>
              <w:b/>
              <w:noProof/>
              <w:color w:val="222A35" w:themeColor="text2" w:themeShade="80"/>
              <w:sz w:val="24"/>
              <w:lang w:eastAsia="ru-RU"/>
            </w:rPr>
            <w:instrText xml:space="preserve"> NUMPAGES </w:instrText>
          </w:r>
          <w:r w:rsidRPr="00176406">
            <w:rPr>
              <w:b/>
              <w:noProof/>
              <w:color w:val="222A35" w:themeColor="text2" w:themeShade="80"/>
              <w:sz w:val="24"/>
              <w:lang w:eastAsia="ru-RU"/>
            </w:rPr>
            <w:fldChar w:fldCharType="separate"/>
          </w:r>
          <w:r w:rsidR="00000B35">
            <w:rPr>
              <w:b/>
              <w:noProof/>
              <w:color w:val="222A35" w:themeColor="text2" w:themeShade="80"/>
              <w:sz w:val="24"/>
              <w:lang w:eastAsia="ru-RU"/>
            </w:rPr>
            <w:t>22</w:t>
          </w:r>
          <w:r w:rsidRPr="00176406">
            <w:rPr>
              <w:b/>
              <w:noProof/>
              <w:color w:val="222A35" w:themeColor="text2" w:themeShade="80"/>
              <w:sz w:val="24"/>
              <w:lang w:eastAsia="ru-RU"/>
            </w:rPr>
            <w:fldChar w:fldCharType="end"/>
          </w:r>
        </w:p>
      </w:tc>
    </w:tr>
  </w:tbl>
  <w:p w14:paraId="112D2424" w14:textId="77777777" w:rsidR="00880769" w:rsidRDefault="008807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3261"/>
    <w:multiLevelType w:val="multilevel"/>
    <w:tmpl w:val="C640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12E83"/>
    <w:multiLevelType w:val="multilevel"/>
    <w:tmpl w:val="208ABBDA"/>
    <w:lvl w:ilvl="0">
      <w:start w:val="4"/>
      <w:numFmt w:val="decimal"/>
      <w:lvlText w:val="%1."/>
      <w:lvlJc w:val="left"/>
      <w:pPr>
        <w:ind w:left="360" w:hanging="360"/>
      </w:pPr>
      <w:rPr>
        <w:rFonts w:hint="default"/>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2">
    <w:nsid w:val="08600825"/>
    <w:multiLevelType w:val="hybridMultilevel"/>
    <w:tmpl w:val="42E01160"/>
    <w:lvl w:ilvl="0" w:tplc="0122E71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640A3"/>
    <w:multiLevelType w:val="multilevel"/>
    <w:tmpl w:val="D68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22598"/>
    <w:multiLevelType w:val="multilevel"/>
    <w:tmpl w:val="E5B2589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92A94"/>
    <w:multiLevelType w:val="multilevel"/>
    <w:tmpl w:val="2FF050F6"/>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start w:val="1"/>
      <w:numFmt w:val="decimal"/>
      <w:lvlText w:val="%3)"/>
      <w:lvlJc w:val="left"/>
      <w:pPr>
        <w:ind w:left="502"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C3A9A"/>
    <w:multiLevelType w:val="multilevel"/>
    <w:tmpl w:val="CAA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73A2E"/>
    <w:multiLevelType w:val="multilevel"/>
    <w:tmpl w:val="7F44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7B0677"/>
    <w:multiLevelType w:val="multilevel"/>
    <w:tmpl w:val="7BF2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D5EAE"/>
    <w:multiLevelType w:val="hybridMultilevel"/>
    <w:tmpl w:val="878ED12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C9583F"/>
    <w:multiLevelType w:val="multilevel"/>
    <w:tmpl w:val="1AA46F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E276A3"/>
    <w:multiLevelType w:val="multilevel"/>
    <w:tmpl w:val="2D1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627745"/>
    <w:multiLevelType w:val="multilevel"/>
    <w:tmpl w:val="A7969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3A7"/>
    <w:multiLevelType w:val="multilevel"/>
    <w:tmpl w:val="4072E62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115D71"/>
    <w:multiLevelType w:val="hybridMultilevel"/>
    <w:tmpl w:val="78642B6A"/>
    <w:lvl w:ilvl="0" w:tplc="EBB2C30C">
      <w:start w:val="1"/>
      <w:numFmt w:val="bullet"/>
      <w:pStyle w:val="1"/>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nsid w:val="2AC323D5"/>
    <w:multiLevelType w:val="multilevel"/>
    <w:tmpl w:val="99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C7B37"/>
    <w:multiLevelType w:val="multilevel"/>
    <w:tmpl w:val="5F00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A503F8"/>
    <w:multiLevelType w:val="multilevel"/>
    <w:tmpl w:val="65FE295E"/>
    <w:lvl w:ilvl="0">
      <w:start w:val="1"/>
      <w:numFmt w:val="decimal"/>
      <w:lvlText w:val="%1)"/>
      <w:lvlJc w:val="left"/>
      <w:pPr>
        <w:tabs>
          <w:tab w:val="num" w:pos="720"/>
        </w:tabs>
        <w:ind w:left="720" w:hanging="720"/>
      </w:pPr>
      <w:rPr>
        <w:rFonts w:hint="default"/>
        <w:b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01A0271"/>
    <w:multiLevelType w:val="multilevel"/>
    <w:tmpl w:val="B0D09C98"/>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2EE030C"/>
    <w:multiLevelType w:val="hybridMultilevel"/>
    <w:tmpl w:val="2648F208"/>
    <w:lvl w:ilvl="0" w:tplc="06624F96">
      <w:start w:val="1"/>
      <w:numFmt w:val="decimal"/>
      <w:lvlText w:val="%1."/>
      <w:lvlJc w:val="left"/>
      <w:pPr>
        <w:ind w:left="4330" w:hanging="360"/>
      </w:pPr>
      <w:rPr>
        <w:rFonts w:hint="default"/>
        <w:b/>
        <w:color w:val="auto"/>
      </w:rPr>
    </w:lvl>
    <w:lvl w:ilvl="1" w:tplc="04190019">
      <w:start w:val="1"/>
      <w:numFmt w:val="lowerLetter"/>
      <w:lvlText w:val="%2."/>
      <w:lvlJc w:val="left"/>
      <w:pPr>
        <w:ind w:left="873" w:hanging="360"/>
      </w:pPr>
    </w:lvl>
    <w:lvl w:ilvl="2" w:tplc="CEC29850">
      <w:start w:val="56"/>
      <w:numFmt w:val="decimal"/>
      <w:lvlText w:val="%3."/>
      <w:lvlJc w:val="left"/>
      <w:pPr>
        <w:ind w:left="1593" w:hanging="180"/>
      </w:pPr>
      <w:rPr>
        <w:rFonts w:hint="default"/>
        <w:lang w:val="en-US"/>
      </w:r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nsid w:val="3813724A"/>
    <w:multiLevelType w:val="multilevel"/>
    <w:tmpl w:val="179C36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F51EA0"/>
    <w:multiLevelType w:val="hybridMultilevel"/>
    <w:tmpl w:val="50AC4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6C5DF9"/>
    <w:multiLevelType w:val="multilevel"/>
    <w:tmpl w:val="A82E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B45ADC"/>
    <w:multiLevelType w:val="multilevel"/>
    <w:tmpl w:val="4FDE790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600054"/>
    <w:multiLevelType w:val="multilevel"/>
    <w:tmpl w:val="952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107C4"/>
    <w:multiLevelType w:val="multilevel"/>
    <w:tmpl w:val="457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6E5B67"/>
    <w:multiLevelType w:val="multilevel"/>
    <w:tmpl w:val="98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132113"/>
    <w:multiLevelType w:val="multilevel"/>
    <w:tmpl w:val="77F45D1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E4942"/>
    <w:multiLevelType w:val="multilevel"/>
    <w:tmpl w:val="6178D3E0"/>
    <w:lvl w:ilvl="0">
      <w:start w:val="6"/>
      <w:numFmt w:val="decimal"/>
      <w:lvlText w:val="%1."/>
      <w:lvlJc w:val="left"/>
      <w:pPr>
        <w:ind w:left="786" w:hanging="360"/>
      </w:pPr>
      <w:rPr>
        <w:rFonts w:hint="default"/>
      </w:rPr>
    </w:lvl>
    <w:lvl w:ilvl="1">
      <w:start w:val="1"/>
      <w:numFmt w:val="decimal"/>
      <w:isLgl/>
      <w:lvlText w:val="%1.%2."/>
      <w:lvlJc w:val="left"/>
      <w:pPr>
        <w:ind w:left="1425" w:hanging="720"/>
      </w:pPr>
      <w:rPr>
        <w:rFonts w:hint="default"/>
        <w:b/>
        <w:sz w:val="24"/>
      </w:rPr>
    </w:lvl>
    <w:lvl w:ilvl="2">
      <w:start w:val="1"/>
      <w:numFmt w:val="decimal"/>
      <w:isLgl/>
      <w:lvlText w:val="%1.%2.%3."/>
      <w:lvlJc w:val="left"/>
      <w:pPr>
        <w:ind w:left="1704" w:hanging="720"/>
      </w:pPr>
      <w:rPr>
        <w:rFonts w:hint="default"/>
        <w:sz w:val="24"/>
      </w:rPr>
    </w:lvl>
    <w:lvl w:ilvl="3">
      <w:start w:val="1"/>
      <w:numFmt w:val="decimal"/>
      <w:isLgl/>
      <w:lvlText w:val="%1.%2.%3.%4."/>
      <w:lvlJc w:val="left"/>
      <w:pPr>
        <w:ind w:left="2343" w:hanging="1080"/>
      </w:pPr>
      <w:rPr>
        <w:rFonts w:hint="default"/>
        <w:sz w:val="24"/>
      </w:rPr>
    </w:lvl>
    <w:lvl w:ilvl="4">
      <w:start w:val="1"/>
      <w:numFmt w:val="decimal"/>
      <w:isLgl/>
      <w:lvlText w:val="%1.%2.%3.%4.%5."/>
      <w:lvlJc w:val="left"/>
      <w:pPr>
        <w:ind w:left="2622" w:hanging="1080"/>
      </w:pPr>
      <w:rPr>
        <w:rFonts w:hint="default"/>
        <w:sz w:val="24"/>
      </w:rPr>
    </w:lvl>
    <w:lvl w:ilvl="5">
      <w:start w:val="1"/>
      <w:numFmt w:val="decimal"/>
      <w:isLgl/>
      <w:lvlText w:val="%1.%2.%3.%4.%5.%6."/>
      <w:lvlJc w:val="left"/>
      <w:pPr>
        <w:ind w:left="3261" w:hanging="1440"/>
      </w:pPr>
      <w:rPr>
        <w:rFonts w:hint="default"/>
        <w:sz w:val="24"/>
      </w:rPr>
    </w:lvl>
    <w:lvl w:ilvl="6">
      <w:start w:val="1"/>
      <w:numFmt w:val="decimal"/>
      <w:isLgl/>
      <w:lvlText w:val="%1.%2.%3.%4.%5.%6.%7."/>
      <w:lvlJc w:val="left"/>
      <w:pPr>
        <w:ind w:left="3900" w:hanging="1800"/>
      </w:pPr>
      <w:rPr>
        <w:rFonts w:hint="default"/>
        <w:sz w:val="24"/>
      </w:rPr>
    </w:lvl>
    <w:lvl w:ilvl="7">
      <w:start w:val="1"/>
      <w:numFmt w:val="decimal"/>
      <w:isLgl/>
      <w:lvlText w:val="%1.%2.%3.%4.%5.%6.%7.%8."/>
      <w:lvlJc w:val="left"/>
      <w:pPr>
        <w:ind w:left="4179" w:hanging="1800"/>
      </w:pPr>
      <w:rPr>
        <w:rFonts w:hint="default"/>
        <w:sz w:val="24"/>
      </w:rPr>
    </w:lvl>
    <w:lvl w:ilvl="8">
      <w:start w:val="1"/>
      <w:numFmt w:val="decimal"/>
      <w:isLgl/>
      <w:lvlText w:val="%1.%2.%3.%4.%5.%6.%7.%8.%9."/>
      <w:lvlJc w:val="left"/>
      <w:pPr>
        <w:ind w:left="4818" w:hanging="2160"/>
      </w:pPr>
      <w:rPr>
        <w:rFonts w:hint="default"/>
        <w:sz w:val="24"/>
      </w:rPr>
    </w:lvl>
  </w:abstractNum>
  <w:abstractNum w:abstractNumId="29">
    <w:nsid w:val="513A7691"/>
    <w:multiLevelType w:val="hybridMultilevel"/>
    <w:tmpl w:val="36C6B246"/>
    <w:lvl w:ilvl="0" w:tplc="74765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F84E33"/>
    <w:multiLevelType w:val="hybridMultilevel"/>
    <w:tmpl w:val="7EC855A2"/>
    <w:lvl w:ilvl="0" w:tplc="D7661B60">
      <w:start w:val="1"/>
      <w:numFmt w:val="decimal"/>
      <w:lvlText w:val="6.3.%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ED09F4"/>
    <w:multiLevelType w:val="multilevel"/>
    <w:tmpl w:val="0F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6375D5"/>
    <w:multiLevelType w:val="hybridMultilevel"/>
    <w:tmpl w:val="DFB4799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DD22D3"/>
    <w:multiLevelType w:val="multilevel"/>
    <w:tmpl w:val="451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F26CE"/>
    <w:multiLevelType w:val="multilevel"/>
    <w:tmpl w:val="E9F2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8617EC"/>
    <w:multiLevelType w:val="multilevel"/>
    <w:tmpl w:val="174AC5A2"/>
    <w:lvl w:ilvl="0">
      <w:start w:val="1"/>
      <w:numFmt w:val="decimal"/>
      <w:lvlText w:val="%1)"/>
      <w:lvlJc w:val="left"/>
      <w:pPr>
        <w:tabs>
          <w:tab w:val="num" w:pos="720"/>
        </w:tabs>
        <w:ind w:left="720" w:hanging="720"/>
      </w:pPr>
      <w:rPr>
        <w:rFonts w:hint="default"/>
        <w:b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FF56190"/>
    <w:multiLevelType w:val="multilevel"/>
    <w:tmpl w:val="27DE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CD3CA2"/>
    <w:multiLevelType w:val="multilevel"/>
    <w:tmpl w:val="BDD6328A"/>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106394A"/>
    <w:multiLevelType w:val="multilevel"/>
    <w:tmpl w:val="252EAFF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CC5EFC"/>
    <w:multiLevelType w:val="hybridMultilevel"/>
    <w:tmpl w:val="6E96D336"/>
    <w:lvl w:ilvl="0" w:tplc="0122E71E">
      <w:start w:val="1"/>
      <w:numFmt w:val="bullet"/>
      <w:lvlText w:val="-"/>
      <w:lvlJc w:val="left"/>
      <w:pPr>
        <w:tabs>
          <w:tab w:val="num" w:pos="720"/>
        </w:tabs>
        <w:ind w:left="720" w:hanging="360"/>
      </w:pPr>
      <w:rPr>
        <w:rFonts w:ascii="Times New Roman" w:hAnsi="Times New Roman" w:cs="Times New Roman" w:hint="default"/>
      </w:rPr>
    </w:lvl>
    <w:lvl w:ilvl="1" w:tplc="DB90CEB2">
      <w:start w:val="1"/>
      <w:numFmt w:val="bullet"/>
      <w:lvlText w:val=""/>
      <w:lvlJc w:val="left"/>
      <w:pPr>
        <w:tabs>
          <w:tab w:val="num" w:pos="1440"/>
        </w:tabs>
        <w:ind w:left="1440" w:hanging="360"/>
      </w:pPr>
      <w:rPr>
        <w:rFonts w:ascii="Wingdings" w:hAnsi="Wingdings" w:hint="default"/>
      </w:rPr>
    </w:lvl>
    <w:lvl w:ilvl="2" w:tplc="31E6B3EC" w:tentative="1">
      <w:start w:val="1"/>
      <w:numFmt w:val="bullet"/>
      <w:lvlText w:val=""/>
      <w:lvlJc w:val="left"/>
      <w:pPr>
        <w:tabs>
          <w:tab w:val="num" w:pos="2160"/>
        </w:tabs>
        <w:ind w:left="2160" w:hanging="360"/>
      </w:pPr>
      <w:rPr>
        <w:rFonts w:ascii="Wingdings" w:hAnsi="Wingdings" w:hint="default"/>
      </w:rPr>
    </w:lvl>
    <w:lvl w:ilvl="3" w:tplc="D5B06000" w:tentative="1">
      <w:start w:val="1"/>
      <w:numFmt w:val="bullet"/>
      <w:lvlText w:val=""/>
      <w:lvlJc w:val="left"/>
      <w:pPr>
        <w:tabs>
          <w:tab w:val="num" w:pos="2880"/>
        </w:tabs>
        <w:ind w:left="2880" w:hanging="360"/>
      </w:pPr>
      <w:rPr>
        <w:rFonts w:ascii="Wingdings" w:hAnsi="Wingdings" w:hint="default"/>
      </w:rPr>
    </w:lvl>
    <w:lvl w:ilvl="4" w:tplc="68DEAC86" w:tentative="1">
      <w:start w:val="1"/>
      <w:numFmt w:val="bullet"/>
      <w:lvlText w:val=""/>
      <w:lvlJc w:val="left"/>
      <w:pPr>
        <w:tabs>
          <w:tab w:val="num" w:pos="3600"/>
        </w:tabs>
        <w:ind w:left="3600" w:hanging="360"/>
      </w:pPr>
      <w:rPr>
        <w:rFonts w:ascii="Wingdings" w:hAnsi="Wingdings" w:hint="default"/>
      </w:rPr>
    </w:lvl>
    <w:lvl w:ilvl="5" w:tplc="3CD8A058" w:tentative="1">
      <w:start w:val="1"/>
      <w:numFmt w:val="bullet"/>
      <w:lvlText w:val=""/>
      <w:lvlJc w:val="left"/>
      <w:pPr>
        <w:tabs>
          <w:tab w:val="num" w:pos="4320"/>
        </w:tabs>
        <w:ind w:left="4320" w:hanging="360"/>
      </w:pPr>
      <w:rPr>
        <w:rFonts w:ascii="Wingdings" w:hAnsi="Wingdings" w:hint="default"/>
      </w:rPr>
    </w:lvl>
    <w:lvl w:ilvl="6" w:tplc="E120162A" w:tentative="1">
      <w:start w:val="1"/>
      <w:numFmt w:val="bullet"/>
      <w:lvlText w:val=""/>
      <w:lvlJc w:val="left"/>
      <w:pPr>
        <w:tabs>
          <w:tab w:val="num" w:pos="5040"/>
        </w:tabs>
        <w:ind w:left="5040" w:hanging="360"/>
      </w:pPr>
      <w:rPr>
        <w:rFonts w:ascii="Wingdings" w:hAnsi="Wingdings" w:hint="default"/>
      </w:rPr>
    </w:lvl>
    <w:lvl w:ilvl="7" w:tplc="8C70092C" w:tentative="1">
      <w:start w:val="1"/>
      <w:numFmt w:val="bullet"/>
      <w:lvlText w:val=""/>
      <w:lvlJc w:val="left"/>
      <w:pPr>
        <w:tabs>
          <w:tab w:val="num" w:pos="5760"/>
        </w:tabs>
        <w:ind w:left="5760" w:hanging="360"/>
      </w:pPr>
      <w:rPr>
        <w:rFonts w:ascii="Wingdings" w:hAnsi="Wingdings" w:hint="default"/>
      </w:rPr>
    </w:lvl>
    <w:lvl w:ilvl="8" w:tplc="4CDE7318" w:tentative="1">
      <w:start w:val="1"/>
      <w:numFmt w:val="bullet"/>
      <w:lvlText w:val=""/>
      <w:lvlJc w:val="left"/>
      <w:pPr>
        <w:tabs>
          <w:tab w:val="num" w:pos="6480"/>
        </w:tabs>
        <w:ind w:left="6480" w:hanging="360"/>
      </w:pPr>
      <w:rPr>
        <w:rFonts w:ascii="Wingdings" w:hAnsi="Wingdings" w:hint="default"/>
      </w:rPr>
    </w:lvl>
  </w:abstractNum>
  <w:abstractNum w:abstractNumId="40">
    <w:nsid w:val="737F2ACB"/>
    <w:multiLevelType w:val="hybridMultilevel"/>
    <w:tmpl w:val="070A4B9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B62E33"/>
    <w:multiLevelType w:val="multilevel"/>
    <w:tmpl w:val="0BEE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FA645B"/>
    <w:multiLevelType w:val="multilevel"/>
    <w:tmpl w:val="77101236"/>
    <w:lvl w:ilvl="0">
      <w:start w:val="1"/>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43">
    <w:nsid w:val="798F30D8"/>
    <w:multiLevelType w:val="multilevel"/>
    <w:tmpl w:val="A5683866"/>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lang w:val="ru-RU"/>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nsid w:val="7D5D35F2"/>
    <w:multiLevelType w:val="multilevel"/>
    <w:tmpl w:val="55A4EC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35"/>
  </w:num>
  <w:num w:numId="4">
    <w:abstractNumId w:val="30"/>
  </w:num>
  <w:num w:numId="5">
    <w:abstractNumId w:val="43"/>
  </w:num>
  <w:num w:numId="6">
    <w:abstractNumId w:val="28"/>
  </w:num>
  <w:num w:numId="7">
    <w:abstractNumId w:val="14"/>
  </w:num>
  <w:num w:numId="8">
    <w:abstractNumId w:val="39"/>
  </w:num>
  <w:num w:numId="9">
    <w:abstractNumId w:val="2"/>
  </w:num>
  <w:num w:numId="10">
    <w:abstractNumId w:val="12"/>
  </w:num>
  <w:num w:numId="11">
    <w:abstractNumId w:val="42"/>
  </w:num>
  <w:num w:numId="12">
    <w:abstractNumId w:val="27"/>
  </w:num>
  <w:num w:numId="13">
    <w:abstractNumId w:val="21"/>
  </w:num>
  <w:num w:numId="14">
    <w:abstractNumId w:val="18"/>
  </w:num>
  <w:num w:numId="15">
    <w:abstractNumId w:val="1"/>
  </w:num>
  <w:num w:numId="16">
    <w:abstractNumId w:val="38"/>
  </w:num>
  <w:num w:numId="17">
    <w:abstractNumId w:val="31"/>
  </w:num>
  <w:num w:numId="18">
    <w:abstractNumId w:val="16"/>
  </w:num>
  <w:num w:numId="19">
    <w:abstractNumId w:val="22"/>
  </w:num>
  <w:num w:numId="20">
    <w:abstractNumId w:val="6"/>
  </w:num>
  <w:num w:numId="21">
    <w:abstractNumId w:val="10"/>
  </w:num>
  <w:num w:numId="22">
    <w:abstractNumId w:val="36"/>
  </w:num>
  <w:num w:numId="23">
    <w:abstractNumId w:val="25"/>
  </w:num>
  <w:num w:numId="24">
    <w:abstractNumId w:val="20"/>
  </w:num>
  <w:num w:numId="25">
    <w:abstractNumId w:val="5"/>
  </w:num>
  <w:num w:numId="26">
    <w:abstractNumId w:val="34"/>
  </w:num>
  <w:num w:numId="27">
    <w:abstractNumId w:val="41"/>
  </w:num>
  <w:num w:numId="28">
    <w:abstractNumId w:val="4"/>
  </w:num>
  <w:num w:numId="29">
    <w:abstractNumId w:val="3"/>
  </w:num>
  <w:num w:numId="30">
    <w:abstractNumId w:val="24"/>
  </w:num>
  <w:num w:numId="31">
    <w:abstractNumId w:val="11"/>
  </w:num>
  <w:num w:numId="32">
    <w:abstractNumId w:val="8"/>
  </w:num>
  <w:num w:numId="33">
    <w:abstractNumId w:val="15"/>
  </w:num>
  <w:num w:numId="34">
    <w:abstractNumId w:val="33"/>
  </w:num>
  <w:num w:numId="35">
    <w:abstractNumId w:val="7"/>
  </w:num>
  <w:num w:numId="36">
    <w:abstractNumId w:val="40"/>
  </w:num>
  <w:num w:numId="37">
    <w:abstractNumId w:val="9"/>
  </w:num>
  <w:num w:numId="38">
    <w:abstractNumId w:val="29"/>
  </w:num>
  <w:num w:numId="39">
    <w:abstractNumId w:val="44"/>
  </w:num>
  <w:num w:numId="40">
    <w:abstractNumId w:val="23"/>
  </w:num>
  <w:num w:numId="41">
    <w:abstractNumId w:val="13"/>
  </w:num>
  <w:num w:numId="42">
    <w:abstractNumId w:val="26"/>
  </w:num>
  <w:num w:numId="43">
    <w:abstractNumId w:val="0"/>
  </w:num>
  <w:num w:numId="44">
    <w:abstractNumId w:val="37"/>
  </w:num>
  <w:num w:numId="45">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ru-RU"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1C"/>
    <w:rsid w:val="00000388"/>
    <w:rsid w:val="00000B35"/>
    <w:rsid w:val="00001E45"/>
    <w:rsid w:val="000022ED"/>
    <w:rsid w:val="00004E59"/>
    <w:rsid w:val="00006D1B"/>
    <w:rsid w:val="00010B7A"/>
    <w:rsid w:val="00012AB1"/>
    <w:rsid w:val="00013446"/>
    <w:rsid w:val="000142E1"/>
    <w:rsid w:val="00014D68"/>
    <w:rsid w:val="00015A8B"/>
    <w:rsid w:val="00022164"/>
    <w:rsid w:val="000237D3"/>
    <w:rsid w:val="00024148"/>
    <w:rsid w:val="00024D39"/>
    <w:rsid w:val="00027139"/>
    <w:rsid w:val="00027D09"/>
    <w:rsid w:val="000348CA"/>
    <w:rsid w:val="000359C5"/>
    <w:rsid w:val="0003660E"/>
    <w:rsid w:val="00036A67"/>
    <w:rsid w:val="000370C7"/>
    <w:rsid w:val="00040A24"/>
    <w:rsid w:val="00041033"/>
    <w:rsid w:val="0004583A"/>
    <w:rsid w:val="000462C0"/>
    <w:rsid w:val="000467EE"/>
    <w:rsid w:val="000504A5"/>
    <w:rsid w:val="0005156D"/>
    <w:rsid w:val="00051C49"/>
    <w:rsid w:val="0005235E"/>
    <w:rsid w:val="00052B57"/>
    <w:rsid w:val="00053906"/>
    <w:rsid w:val="00053E46"/>
    <w:rsid w:val="000545EB"/>
    <w:rsid w:val="00055795"/>
    <w:rsid w:val="000557E4"/>
    <w:rsid w:val="00061D5C"/>
    <w:rsid w:val="00062E93"/>
    <w:rsid w:val="00063B71"/>
    <w:rsid w:val="0006441E"/>
    <w:rsid w:val="0006450A"/>
    <w:rsid w:val="00066496"/>
    <w:rsid w:val="0006744A"/>
    <w:rsid w:val="00067BC7"/>
    <w:rsid w:val="00074D54"/>
    <w:rsid w:val="0007546E"/>
    <w:rsid w:val="00075546"/>
    <w:rsid w:val="00076826"/>
    <w:rsid w:val="00080D7E"/>
    <w:rsid w:val="000830BE"/>
    <w:rsid w:val="000840EE"/>
    <w:rsid w:val="00084AD6"/>
    <w:rsid w:val="00085AF7"/>
    <w:rsid w:val="0009028B"/>
    <w:rsid w:val="00092EC5"/>
    <w:rsid w:val="0009459B"/>
    <w:rsid w:val="000956F7"/>
    <w:rsid w:val="00096008"/>
    <w:rsid w:val="000968CE"/>
    <w:rsid w:val="00096B80"/>
    <w:rsid w:val="000A1141"/>
    <w:rsid w:val="000A3F10"/>
    <w:rsid w:val="000A5C88"/>
    <w:rsid w:val="000A62D9"/>
    <w:rsid w:val="000A6FCB"/>
    <w:rsid w:val="000B099A"/>
    <w:rsid w:val="000B243F"/>
    <w:rsid w:val="000B2776"/>
    <w:rsid w:val="000B3BE9"/>
    <w:rsid w:val="000B5429"/>
    <w:rsid w:val="000B6824"/>
    <w:rsid w:val="000B7F9E"/>
    <w:rsid w:val="000C0331"/>
    <w:rsid w:val="000C0BDD"/>
    <w:rsid w:val="000C3755"/>
    <w:rsid w:val="000C4455"/>
    <w:rsid w:val="000C6D33"/>
    <w:rsid w:val="000D1BCA"/>
    <w:rsid w:val="000D1DF5"/>
    <w:rsid w:val="000D4293"/>
    <w:rsid w:val="000D4674"/>
    <w:rsid w:val="000D49B7"/>
    <w:rsid w:val="000D6E1A"/>
    <w:rsid w:val="000D78F8"/>
    <w:rsid w:val="000E0407"/>
    <w:rsid w:val="000E420A"/>
    <w:rsid w:val="000E4285"/>
    <w:rsid w:val="000E5ED1"/>
    <w:rsid w:val="000E66B3"/>
    <w:rsid w:val="000E6ED7"/>
    <w:rsid w:val="000F0496"/>
    <w:rsid w:val="000F0BCF"/>
    <w:rsid w:val="000F2628"/>
    <w:rsid w:val="000F38B3"/>
    <w:rsid w:val="000F751D"/>
    <w:rsid w:val="00103667"/>
    <w:rsid w:val="00105104"/>
    <w:rsid w:val="0010656F"/>
    <w:rsid w:val="001067AD"/>
    <w:rsid w:val="00106B45"/>
    <w:rsid w:val="00107684"/>
    <w:rsid w:val="001132AD"/>
    <w:rsid w:val="00115D01"/>
    <w:rsid w:val="001169B6"/>
    <w:rsid w:val="0012124A"/>
    <w:rsid w:val="00125E69"/>
    <w:rsid w:val="001267E4"/>
    <w:rsid w:val="00126F05"/>
    <w:rsid w:val="00126F15"/>
    <w:rsid w:val="001277D1"/>
    <w:rsid w:val="001306B6"/>
    <w:rsid w:val="00131A6C"/>
    <w:rsid w:val="00132B91"/>
    <w:rsid w:val="0013362F"/>
    <w:rsid w:val="00136305"/>
    <w:rsid w:val="00136B4C"/>
    <w:rsid w:val="001403FB"/>
    <w:rsid w:val="001404E7"/>
    <w:rsid w:val="001416F3"/>
    <w:rsid w:val="001447C8"/>
    <w:rsid w:val="00146313"/>
    <w:rsid w:val="00146360"/>
    <w:rsid w:val="00150911"/>
    <w:rsid w:val="00150B59"/>
    <w:rsid w:val="00151361"/>
    <w:rsid w:val="0015388D"/>
    <w:rsid w:val="001566CE"/>
    <w:rsid w:val="0016011B"/>
    <w:rsid w:val="001604F7"/>
    <w:rsid w:val="001620A3"/>
    <w:rsid w:val="00162CB6"/>
    <w:rsid w:val="001630D8"/>
    <w:rsid w:val="00166EC7"/>
    <w:rsid w:val="0016782C"/>
    <w:rsid w:val="001700A5"/>
    <w:rsid w:val="00170495"/>
    <w:rsid w:val="00171F9F"/>
    <w:rsid w:val="001723AD"/>
    <w:rsid w:val="00173320"/>
    <w:rsid w:val="00176C56"/>
    <w:rsid w:val="00177BA9"/>
    <w:rsid w:val="00177E56"/>
    <w:rsid w:val="00182CB7"/>
    <w:rsid w:val="00183BFC"/>
    <w:rsid w:val="00183CFB"/>
    <w:rsid w:val="00184373"/>
    <w:rsid w:val="0018578E"/>
    <w:rsid w:val="00187E83"/>
    <w:rsid w:val="00190CAD"/>
    <w:rsid w:val="001952D1"/>
    <w:rsid w:val="001954C3"/>
    <w:rsid w:val="00195BF9"/>
    <w:rsid w:val="00196636"/>
    <w:rsid w:val="001A0593"/>
    <w:rsid w:val="001A0ED5"/>
    <w:rsid w:val="001A154F"/>
    <w:rsid w:val="001A2299"/>
    <w:rsid w:val="001A307E"/>
    <w:rsid w:val="001A4CD3"/>
    <w:rsid w:val="001A4ED7"/>
    <w:rsid w:val="001A4F3A"/>
    <w:rsid w:val="001A5E3F"/>
    <w:rsid w:val="001A60E7"/>
    <w:rsid w:val="001A6243"/>
    <w:rsid w:val="001B3776"/>
    <w:rsid w:val="001C14D6"/>
    <w:rsid w:val="001C1A8A"/>
    <w:rsid w:val="001C1BD5"/>
    <w:rsid w:val="001C277A"/>
    <w:rsid w:val="001C3124"/>
    <w:rsid w:val="001C3437"/>
    <w:rsid w:val="001C54AA"/>
    <w:rsid w:val="001C5BD8"/>
    <w:rsid w:val="001C626E"/>
    <w:rsid w:val="001D0019"/>
    <w:rsid w:val="001D5797"/>
    <w:rsid w:val="001D5B9A"/>
    <w:rsid w:val="001D6B99"/>
    <w:rsid w:val="001D6EFD"/>
    <w:rsid w:val="001E36D4"/>
    <w:rsid w:val="001E3BC5"/>
    <w:rsid w:val="001E3D11"/>
    <w:rsid w:val="001E426F"/>
    <w:rsid w:val="001E4EF1"/>
    <w:rsid w:val="001F02A7"/>
    <w:rsid w:val="001F04B2"/>
    <w:rsid w:val="001F0C57"/>
    <w:rsid w:val="001F0EEC"/>
    <w:rsid w:val="001F2444"/>
    <w:rsid w:val="001F2FD4"/>
    <w:rsid w:val="001F3ADB"/>
    <w:rsid w:val="001F4CA5"/>
    <w:rsid w:val="001F786C"/>
    <w:rsid w:val="0020357A"/>
    <w:rsid w:val="00207366"/>
    <w:rsid w:val="002106D7"/>
    <w:rsid w:val="00211D3A"/>
    <w:rsid w:val="0021354F"/>
    <w:rsid w:val="00213B35"/>
    <w:rsid w:val="002224E8"/>
    <w:rsid w:val="00225873"/>
    <w:rsid w:val="00225B5F"/>
    <w:rsid w:val="00226A46"/>
    <w:rsid w:val="002308AF"/>
    <w:rsid w:val="0023754A"/>
    <w:rsid w:val="002409CC"/>
    <w:rsid w:val="00241454"/>
    <w:rsid w:val="002432F7"/>
    <w:rsid w:val="00247725"/>
    <w:rsid w:val="00250A00"/>
    <w:rsid w:val="00253873"/>
    <w:rsid w:val="002553E8"/>
    <w:rsid w:val="002563FC"/>
    <w:rsid w:val="002564EE"/>
    <w:rsid w:val="002579BB"/>
    <w:rsid w:val="00261C92"/>
    <w:rsid w:val="0026360E"/>
    <w:rsid w:val="00265671"/>
    <w:rsid w:val="002657DF"/>
    <w:rsid w:val="00266E5D"/>
    <w:rsid w:val="00267DBA"/>
    <w:rsid w:val="002738C5"/>
    <w:rsid w:val="00274C4F"/>
    <w:rsid w:val="002750D9"/>
    <w:rsid w:val="00275B30"/>
    <w:rsid w:val="002767D1"/>
    <w:rsid w:val="0027690D"/>
    <w:rsid w:val="00277E6E"/>
    <w:rsid w:val="00281485"/>
    <w:rsid w:val="0028233F"/>
    <w:rsid w:val="0028453D"/>
    <w:rsid w:val="00284945"/>
    <w:rsid w:val="00285958"/>
    <w:rsid w:val="00285AF6"/>
    <w:rsid w:val="00292D41"/>
    <w:rsid w:val="0029431B"/>
    <w:rsid w:val="0029543F"/>
    <w:rsid w:val="00296B44"/>
    <w:rsid w:val="002A057C"/>
    <w:rsid w:val="002A34E7"/>
    <w:rsid w:val="002B0A4C"/>
    <w:rsid w:val="002B0F22"/>
    <w:rsid w:val="002B112C"/>
    <w:rsid w:val="002B154D"/>
    <w:rsid w:val="002B28F6"/>
    <w:rsid w:val="002C0C85"/>
    <w:rsid w:val="002C38F9"/>
    <w:rsid w:val="002C405E"/>
    <w:rsid w:val="002C5A95"/>
    <w:rsid w:val="002C601C"/>
    <w:rsid w:val="002C6766"/>
    <w:rsid w:val="002D28AF"/>
    <w:rsid w:val="002D29EA"/>
    <w:rsid w:val="002D2ED1"/>
    <w:rsid w:val="002D4054"/>
    <w:rsid w:val="002D4251"/>
    <w:rsid w:val="002D51FF"/>
    <w:rsid w:val="002D53C8"/>
    <w:rsid w:val="002D6825"/>
    <w:rsid w:val="002E1117"/>
    <w:rsid w:val="002E4F87"/>
    <w:rsid w:val="002E5F1A"/>
    <w:rsid w:val="002E60F7"/>
    <w:rsid w:val="002E635F"/>
    <w:rsid w:val="002E6C92"/>
    <w:rsid w:val="002E6FF9"/>
    <w:rsid w:val="002E7420"/>
    <w:rsid w:val="002F1110"/>
    <w:rsid w:val="002F1AE9"/>
    <w:rsid w:val="002F29A3"/>
    <w:rsid w:val="002F497A"/>
    <w:rsid w:val="002F5FC3"/>
    <w:rsid w:val="002F7628"/>
    <w:rsid w:val="002F7F19"/>
    <w:rsid w:val="00302E9A"/>
    <w:rsid w:val="00303AB4"/>
    <w:rsid w:val="00307F9B"/>
    <w:rsid w:val="00311640"/>
    <w:rsid w:val="003134ED"/>
    <w:rsid w:val="00314009"/>
    <w:rsid w:val="00314082"/>
    <w:rsid w:val="0031418E"/>
    <w:rsid w:val="003160FB"/>
    <w:rsid w:val="00321EA6"/>
    <w:rsid w:val="003240AE"/>
    <w:rsid w:val="003243AF"/>
    <w:rsid w:val="00325158"/>
    <w:rsid w:val="00325180"/>
    <w:rsid w:val="0032675E"/>
    <w:rsid w:val="003276AF"/>
    <w:rsid w:val="003301C7"/>
    <w:rsid w:val="003308D6"/>
    <w:rsid w:val="00333CAB"/>
    <w:rsid w:val="00334504"/>
    <w:rsid w:val="00341480"/>
    <w:rsid w:val="003415BE"/>
    <w:rsid w:val="00342CC1"/>
    <w:rsid w:val="00344009"/>
    <w:rsid w:val="00344469"/>
    <w:rsid w:val="00346247"/>
    <w:rsid w:val="00346729"/>
    <w:rsid w:val="00350350"/>
    <w:rsid w:val="00350960"/>
    <w:rsid w:val="0035180B"/>
    <w:rsid w:val="003522DB"/>
    <w:rsid w:val="00352B46"/>
    <w:rsid w:val="00354A93"/>
    <w:rsid w:val="00354DBA"/>
    <w:rsid w:val="00357D8A"/>
    <w:rsid w:val="0036043C"/>
    <w:rsid w:val="0037418E"/>
    <w:rsid w:val="00374A1E"/>
    <w:rsid w:val="003815C6"/>
    <w:rsid w:val="00381E6E"/>
    <w:rsid w:val="003833ED"/>
    <w:rsid w:val="0038472F"/>
    <w:rsid w:val="00385E2E"/>
    <w:rsid w:val="003902CE"/>
    <w:rsid w:val="003907DA"/>
    <w:rsid w:val="00390F53"/>
    <w:rsid w:val="003913B8"/>
    <w:rsid w:val="00393B08"/>
    <w:rsid w:val="003A07D2"/>
    <w:rsid w:val="003A27BB"/>
    <w:rsid w:val="003A42A9"/>
    <w:rsid w:val="003A57D2"/>
    <w:rsid w:val="003B0F47"/>
    <w:rsid w:val="003B2E25"/>
    <w:rsid w:val="003B42E7"/>
    <w:rsid w:val="003B451C"/>
    <w:rsid w:val="003B4EB7"/>
    <w:rsid w:val="003B5FA6"/>
    <w:rsid w:val="003B6B34"/>
    <w:rsid w:val="003B7346"/>
    <w:rsid w:val="003C0B1C"/>
    <w:rsid w:val="003C49E7"/>
    <w:rsid w:val="003C50F2"/>
    <w:rsid w:val="003C7F3F"/>
    <w:rsid w:val="003D112F"/>
    <w:rsid w:val="003D194A"/>
    <w:rsid w:val="003D1EFB"/>
    <w:rsid w:val="003D25B9"/>
    <w:rsid w:val="003D4661"/>
    <w:rsid w:val="003E757D"/>
    <w:rsid w:val="003E7CE6"/>
    <w:rsid w:val="003F0DB1"/>
    <w:rsid w:val="003F1FFA"/>
    <w:rsid w:val="003F227B"/>
    <w:rsid w:val="003F24B9"/>
    <w:rsid w:val="003F2851"/>
    <w:rsid w:val="003F314E"/>
    <w:rsid w:val="003F3A4C"/>
    <w:rsid w:val="003F49DF"/>
    <w:rsid w:val="003F6CCA"/>
    <w:rsid w:val="004007F0"/>
    <w:rsid w:val="00401225"/>
    <w:rsid w:val="004039C1"/>
    <w:rsid w:val="0040477B"/>
    <w:rsid w:val="00404CCE"/>
    <w:rsid w:val="00404D94"/>
    <w:rsid w:val="00406DD5"/>
    <w:rsid w:val="004076E3"/>
    <w:rsid w:val="00407B2E"/>
    <w:rsid w:val="0041105F"/>
    <w:rsid w:val="00414865"/>
    <w:rsid w:val="00414A2D"/>
    <w:rsid w:val="00414E2E"/>
    <w:rsid w:val="00420B6D"/>
    <w:rsid w:val="00421203"/>
    <w:rsid w:val="00422F5D"/>
    <w:rsid w:val="00425804"/>
    <w:rsid w:val="00426D60"/>
    <w:rsid w:val="00427B41"/>
    <w:rsid w:val="004314A9"/>
    <w:rsid w:val="00432980"/>
    <w:rsid w:val="00435C09"/>
    <w:rsid w:val="00436162"/>
    <w:rsid w:val="00437AD3"/>
    <w:rsid w:val="00441BA6"/>
    <w:rsid w:val="0044550E"/>
    <w:rsid w:val="0044559E"/>
    <w:rsid w:val="00445909"/>
    <w:rsid w:val="00445B5F"/>
    <w:rsid w:val="00445C76"/>
    <w:rsid w:val="004478F2"/>
    <w:rsid w:val="00450888"/>
    <w:rsid w:val="0045199A"/>
    <w:rsid w:val="00451CC5"/>
    <w:rsid w:val="0045346F"/>
    <w:rsid w:val="0045373D"/>
    <w:rsid w:val="00454222"/>
    <w:rsid w:val="00454FC8"/>
    <w:rsid w:val="0045658F"/>
    <w:rsid w:val="0045674B"/>
    <w:rsid w:val="00464A60"/>
    <w:rsid w:val="00464A6A"/>
    <w:rsid w:val="00466B08"/>
    <w:rsid w:val="0047000C"/>
    <w:rsid w:val="00473C5D"/>
    <w:rsid w:val="00473E1F"/>
    <w:rsid w:val="0047473F"/>
    <w:rsid w:val="0048139F"/>
    <w:rsid w:val="00481A79"/>
    <w:rsid w:val="004835AD"/>
    <w:rsid w:val="00484054"/>
    <w:rsid w:val="0048604F"/>
    <w:rsid w:val="004861CB"/>
    <w:rsid w:val="00486AA3"/>
    <w:rsid w:val="00487BC3"/>
    <w:rsid w:val="00491E1A"/>
    <w:rsid w:val="00492945"/>
    <w:rsid w:val="00493AC2"/>
    <w:rsid w:val="00495EEB"/>
    <w:rsid w:val="00496AB3"/>
    <w:rsid w:val="004A1245"/>
    <w:rsid w:val="004A31DC"/>
    <w:rsid w:val="004A3A0E"/>
    <w:rsid w:val="004A6EAF"/>
    <w:rsid w:val="004B0B17"/>
    <w:rsid w:val="004B24BC"/>
    <w:rsid w:val="004B303D"/>
    <w:rsid w:val="004B307D"/>
    <w:rsid w:val="004B55E2"/>
    <w:rsid w:val="004B5B86"/>
    <w:rsid w:val="004B6EBA"/>
    <w:rsid w:val="004B7645"/>
    <w:rsid w:val="004B7FBE"/>
    <w:rsid w:val="004C028A"/>
    <w:rsid w:val="004C1C8A"/>
    <w:rsid w:val="004C3222"/>
    <w:rsid w:val="004C3D86"/>
    <w:rsid w:val="004C6CE7"/>
    <w:rsid w:val="004C7416"/>
    <w:rsid w:val="004D023F"/>
    <w:rsid w:val="004D1243"/>
    <w:rsid w:val="004D2400"/>
    <w:rsid w:val="004D254A"/>
    <w:rsid w:val="004D2AE2"/>
    <w:rsid w:val="004D2E07"/>
    <w:rsid w:val="004D5749"/>
    <w:rsid w:val="004D687A"/>
    <w:rsid w:val="004E26B0"/>
    <w:rsid w:val="004E5739"/>
    <w:rsid w:val="004E5EBF"/>
    <w:rsid w:val="004E6EC8"/>
    <w:rsid w:val="004E6FD4"/>
    <w:rsid w:val="004E7C0A"/>
    <w:rsid w:val="004E7E75"/>
    <w:rsid w:val="004F2929"/>
    <w:rsid w:val="004F3B51"/>
    <w:rsid w:val="004F3B73"/>
    <w:rsid w:val="004F69D5"/>
    <w:rsid w:val="00503048"/>
    <w:rsid w:val="00504290"/>
    <w:rsid w:val="00504770"/>
    <w:rsid w:val="005060C4"/>
    <w:rsid w:val="0051047E"/>
    <w:rsid w:val="0051186B"/>
    <w:rsid w:val="0051300F"/>
    <w:rsid w:val="00513C4E"/>
    <w:rsid w:val="0051649B"/>
    <w:rsid w:val="00516D94"/>
    <w:rsid w:val="00520CFD"/>
    <w:rsid w:val="00521C47"/>
    <w:rsid w:val="00521F2C"/>
    <w:rsid w:val="00522313"/>
    <w:rsid w:val="0052359F"/>
    <w:rsid w:val="005236A2"/>
    <w:rsid w:val="00523AB8"/>
    <w:rsid w:val="00523F08"/>
    <w:rsid w:val="00533B1E"/>
    <w:rsid w:val="00535CFD"/>
    <w:rsid w:val="00536A6F"/>
    <w:rsid w:val="005378FE"/>
    <w:rsid w:val="00542D60"/>
    <w:rsid w:val="00544E3F"/>
    <w:rsid w:val="00550F24"/>
    <w:rsid w:val="005518E4"/>
    <w:rsid w:val="00552D71"/>
    <w:rsid w:val="00556AB9"/>
    <w:rsid w:val="00561138"/>
    <w:rsid w:val="00565681"/>
    <w:rsid w:val="00566416"/>
    <w:rsid w:val="00566772"/>
    <w:rsid w:val="00572EE7"/>
    <w:rsid w:val="0057359E"/>
    <w:rsid w:val="00573C56"/>
    <w:rsid w:val="005754D9"/>
    <w:rsid w:val="005767A7"/>
    <w:rsid w:val="00587778"/>
    <w:rsid w:val="00591EDD"/>
    <w:rsid w:val="005924A4"/>
    <w:rsid w:val="00593295"/>
    <w:rsid w:val="00593400"/>
    <w:rsid w:val="00597FC0"/>
    <w:rsid w:val="005A16ED"/>
    <w:rsid w:val="005A189C"/>
    <w:rsid w:val="005A5C1C"/>
    <w:rsid w:val="005A67AA"/>
    <w:rsid w:val="005A6898"/>
    <w:rsid w:val="005A6EC1"/>
    <w:rsid w:val="005A7E48"/>
    <w:rsid w:val="005B031E"/>
    <w:rsid w:val="005B10FD"/>
    <w:rsid w:val="005B176E"/>
    <w:rsid w:val="005B22B7"/>
    <w:rsid w:val="005B3309"/>
    <w:rsid w:val="005B3B94"/>
    <w:rsid w:val="005B7252"/>
    <w:rsid w:val="005C02F6"/>
    <w:rsid w:val="005C285A"/>
    <w:rsid w:val="005C4B62"/>
    <w:rsid w:val="005C514F"/>
    <w:rsid w:val="005C6B17"/>
    <w:rsid w:val="005D055C"/>
    <w:rsid w:val="005D1A79"/>
    <w:rsid w:val="005D1FA5"/>
    <w:rsid w:val="005D399D"/>
    <w:rsid w:val="005D3F7A"/>
    <w:rsid w:val="005D5783"/>
    <w:rsid w:val="005D5C65"/>
    <w:rsid w:val="005D7B41"/>
    <w:rsid w:val="005E18A8"/>
    <w:rsid w:val="005E1EF7"/>
    <w:rsid w:val="005E380F"/>
    <w:rsid w:val="005E4111"/>
    <w:rsid w:val="005E4D24"/>
    <w:rsid w:val="005E5E27"/>
    <w:rsid w:val="005E637E"/>
    <w:rsid w:val="005E709C"/>
    <w:rsid w:val="005F274D"/>
    <w:rsid w:val="005F3415"/>
    <w:rsid w:val="005F5BE9"/>
    <w:rsid w:val="005F7149"/>
    <w:rsid w:val="005F71A6"/>
    <w:rsid w:val="005F7C63"/>
    <w:rsid w:val="005F7FE4"/>
    <w:rsid w:val="00601F6C"/>
    <w:rsid w:val="006027C0"/>
    <w:rsid w:val="00603177"/>
    <w:rsid w:val="00611E08"/>
    <w:rsid w:val="00612648"/>
    <w:rsid w:val="00612E9E"/>
    <w:rsid w:val="00613251"/>
    <w:rsid w:val="006134D3"/>
    <w:rsid w:val="00614017"/>
    <w:rsid w:val="0061647F"/>
    <w:rsid w:val="0061708E"/>
    <w:rsid w:val="00620EC7"/>
    <w:rsid w:val="00621824"/>
    <w:rsid w:val="00622C33"/>
    <w:rsid w:val="00625A42"/>
    <w:rsid w:val="00625AF1"/>
    <w:rsid w:val="00627D4F"/>
    <w:rsid w:val="0063115E"/>
    <w:rsid w:val="0063120C"/>
    <w:rsid w:val="00632198"/>
    <w:rsid w:val="006325C9"/>
    <w:rsid w:val="00634418"/>
    <w:rsid w:val="00634BF6"/>
    <w:rsid w:val="0063579C"/>
    <w:rsid w:val="00640833"/>
    <w:rsid w:val="0064641A"/>
    <w:rsid w:val="006514CC"/>
    <w:rsid w:val="00653DDD"/>
    <w:rsid w:val="0065454F"/>
    <w:rsid w:val="006555C2"/>
    <w:rsid w:val="00655D58"/>
    <w:rsid w:val="006605C2"/>
    <w:rsid w:val="0066064C"/>
    <w:rsid w:val="00660A29"/>
    <w:rsid w:val="006649E2"/>
    <w:rsid w:val="0066695A"/>
    <w:rsid w:val="00666B03"/>
    <w:rsid w:val="0066794C"/>
    <w:rsid w:val="00671861"/>
    <w:rsid w:val="00672187"/>
    <w:rsid w:val="00675914"/>
    <w:rsid w:val="00677514"/>
    <w:rsid w:val="00677B95"/>
    <w:rsid w:val="006809FC"/>
    <w:rsid w:val="006826C2"/>
    <w:rsid w:val="00684BDD"/>
    <w:rsid w:val="00684F8B"/>
    <w:rsid w:val="006852A4"/>
    <w:rsid w:val="006852F2"/>
    <w:rsid w:val="006854E2"/>
    <w:rsid w:val="00685CEC"/>
    <w:rsid w:val="00685E2F"/>
    <w:rsid w:val="00685FBC"/>
    <w:rsid w:val="00687B68"/>
    <w:rsid w:val="006901B3"/>
    <w:rsid w:val="00690E03"/>
    <w:rsid w:val="00691FE4"/>
    <w:rsid w:val="00693B89"/>
    <w:rsid w:val="00694849"/>
    <w:rsid w:val="006964A3"/>
    <w:rsid w:val="006965B5"/>
    <w:rsid w:val="006A215B"/>
    <w:rsid w:val="006A50A1"/>
    <w:rsid w:val="006A733D"/>
    <w:rsid w:val="006B2566"/>
    <w:rsid w:val="006B400C"/>
    <w:rsid w:val="006B4394"/>
    <w:rsid w:val="006B7726"/>
    <w:rsid w:val="006B7CD4"/>
    <w:rsid w:val="006C14F1"/>
    <w:rsid w:val="006C2851"/>
    <w:rsid w:val="006C31DC"/>
    <w:rsid w:val="006C4941"/>
    <w:rsid w:val="006C5F7A"/>
    <w:rsid w:val="006D04CB"/>
    <w:rsid w:val="006D2C2D"/>
    <w:rsid w:val="006D399F"/>
    <w:rsid w:val="006D6710"/>
    <w:rsid w:val="006E4AD3"/>
    <w:rsid w:val="006E67F1"/>
    <w:rsid w:val="006E6E92"/>
    <w:rsid w:val="006F0E29"/>
    <w:rsid w:val="006F2450"/>
    <w:rsid w:val="006F648C"/>
    <w:rsid w:val="006F7647"/>
    <w:rsid w:val="006F7707"/>
    <w:rsid w:val="006F7FAC"/>
    <w:rsid w:val="00700C35"/>
    <w:rsid w:val="00701C8D"/>
    <w:rsid w:val="00704E07"/>
    <w:rsid w:val="00705B44"/>
    <w:rsid w:val="00707028"/>
    <w:rsid w:val="00707963"/>
    <w:rsid w:val="007101E3"/>
    <w:rsid w:val="00714CF9"/>
    <w:rsid w:val="007170B7"/>
    <w:rsid w:val="00721616"/>
    <w:rsid w:val="0072194B"/>
    <w:rsid w:val="00722F0E"/>
    <w:rsid w:val="00724638"/>
    <w:rsid w:val="00726FE7"/>
    <w:rsid w:val="0072733E"/>
    <w:rsid w:val="00730543"/>
    <w:rsid w:val="0073262A"/>
    <w:rsid w:val="007349D6"/>
    <w:rsid w:val="007353AC"/>
    <w:rsid w:val="00740598"/>
    <w:rsid w:val="00742668"/>
    <w:rsid w:val="00746FCB"/>
    <w:rsid w:val="0075002F"/>
    <w:rsid w:val="00751A15"/>
    <w:rsid w:val="0075214B"/>
    <w:rsid w:val="0075303F"/>
    <w:rsid w:val="00753E7A"/>
    <w:rsid w:val="00754E38"/>
    <w:rsid w:val="00755DDB"/>
    <w:rsid w:val="00757621"/>
    <w:rsid w:val="007577B5"/>
    <w:rsid w:val="007613CD"/>
    <w:rsid w:val="0076200E"/>
    <w:rsid w:val="00762F57"/>
    <w:rsid w:val="007635AC"/>
    <w:rsid w:val="00763D33"/>
    <w:rsid w:val="0076434B"/>
    <w:rsid w:val="00764384"/>
    <w:rsid w:val="007644F4"/>
    <w:rsid w:val="00764EAB"/>
    <w:rsid w:val="0076586B"/>
    <w:rsid w:val="007668BC"/>
    <w:rsid w:val="00771E0A"/>
    <w:rsid w:val="007728ED"/>
    <w:rsid w:val="00773C77"/>
    <w:rsid w:val="007751C6"/>
    <w:rsid w:val="007866F0"/>
    <w:rsid w:val="0078760A"/>
    <w:rsid w:val="00787F16"/>
    <w:rsid w:val="00793A7B"/>
    <w:rsid w:val="00793CE1"/>
    <w:rsid w:val="007A0EB6"/>
    <w:rsid w:val="007A1D0A"/>
    <w:rsid w:val="007A2AC3"/>
    <w:rsid w:val="007A38A9"/>
    <w:rsid w:val="007A4BD2"/>
    <w:rsid w:val="007A761E"/>
    <w:rsid w:val="007A79FE"/>
    <w:rsid w:val="007B3162"/>
    <w:rsid w:val="007B53A3"/>
    <w:rsid w:val="007B71D3"/>
    <w:rsid w:val="007C1B63"/>
    <w:rsid w:val="007C210E"/>
    <w:rsid w:val="007C3B2F"/>
    <w:rsid w:val="007C3C4B"/>
    <w:rsid w:val="007C50EA"/>
    <w:rsid w:val="007C6361"/>
    <w:rsid w:val="007C6F98"/>
    <w:rsid w:val="007D00E9"/>
    <w:rsid w:val="007D0364"/>
    <w:rsid w:val="007D0A46"/>
    <w:rsid w:val="007D3488"/>
    <w:rsid w:val="007D3E01"/>
    <w:rsid w:val="007D6E75"/>
    <w:rsid w:val="007E0640"/>
    <w:rsid w:val="007E1ABF"/>
    <w:rsid w:val="007E22F1"/>
    <w:rsid w:val="007E2DB7"/>
    <w:rsid w:val="007E3CD3"/>
    <w:rsid w:val="007E3DBA"/>
    <w:rsid w:val="007E47E1"/>
    <w:rsid w:val="007E48CC"/>
    <w:rsid w:val="007E4A8C"/>
    <w:rsid w:val="007E5832"/>
    <w:rsid w:val="007E61A4"/>
    <w:rsid w:val="007F0444"/>
    <w:rsid w:val="007F0A20"/>
    <w:rsid w:val="007F2CE3"/>
    <w:rsid w:val="007F3FCC"/>
    <w:rsid w:val="007F5D2B"/>
    <w:rsid w:val="007F63FE"/>
    <w:rsid w:val="00800078"/>
    <w:rsid w:val="008031A5"/>
    <w:rsid w:val="008033C5"/>
    <w:rsid w:val="008038B3"/>
    <w:rsid w:val="00803BFB"/>
    <w:rsid w:val="00803F3D"/>
    <w:rsid w:val="008046E9"/>
    <w:rsid w:val="00805D99"/>
    <w:rsid w:val="00807B51"/>
    <w:rsid w:val="00810640"/>
    <w:rsid w:val="008138FF"/>
    <w:rsid w:val="00813F5B"/>
    <w:rsid w:val="008159EB"/>
    <w:rsid w:val="008179D8"/>
    <w:rsid w:val="00817B5B"/>
    <w:rsid w:val="008236B5"/>
    <w:rsid w:val="0082439E"/>
    <w:rsid w:val="008249AF"/>
    <w:rsid w:val="0082647B"/>
    <w:rsid w:val="008276F6"/>
    <w:rsid w:val="00832064"/>
    <w:rsid w:val="008324F0"/>
    <w:rsid w:val="0083320C"/>
    <w:rsid w:val="008334BC"/>
    <w:rsid w:val="00834053"/>
    <w:rsid w:val="0083464C"/>
    <w:rsid w:val="008422A5"/>
    <w:rsid w:val="00842CB5"/>
    <w:rsid w:val="00844348"/>
    <w:rsid w:val="008464C3"/>
    <w:rsid w:val="00850358"/>
    <w:rsid w:val="008508B5"/>
    <w:rsid w:val="00851E65"/>
    <w:rsid w:val="008520F9"/>
    <w:rsid w:val="008538CE"/>
    <w:rsid w:val="00857AD8"/>
    <w:rsid w:val="00857C44"/>
    <w:rsid w:val="00862341"/>
    <w:rsid w:val="0086317F"/>
    <w:rsid w:val="008644FC"/>
    <w:rsid w:val="008657D0"/>
    <w:rsid w:val="0086681F"/>
    <w:rsid w:val="00867199"/>
    <w:rsid w:val="00867314"/>
    <w:rsid w:val="008726E6"/>
    <w:rsid w:val="00872D4A"/>
    <w:rsid w:val="0087315B"/>
    <w:rsid w:val="008731F6"/>
    <w:rsid w:val="008745BC"/>
    <w:rsid w:val="00880769"/>
    <w:rsid w:val="00881065"/>
    <w:rsid w:val="008810BD"/>
    <w:rsid w:val="00885E73"/>
    <w:rsid w:val="00886553"/>
    <w:rsid w:val="00886CC0"/>
    <w:rsid w:val="0089007B"/>
    <w:rsid w:val="00890D74"/>
    <w:rsid w:val="0089111B"/>
    <w:rsid w:val="00891A33"/>
    <w:rsid w:val="00892536"/>
    <w:rsid w:val="008928BF"/>
    <w:rsid w:val="00895E5E"/>
    <w:rsid w:val="00897BEB"/>
    <w:rsid w:val="008A5464"/>
    <w:rsid w:val="008A5F5C"/>
    <w:rsid w:val="008A64A5"/>
    <w:rsid w:val="008A6591"/>
    <w:rsid w:val="008A6DA5"/>
    <w:rsid w:val="008A740D"/>
    <w:rsid w:val="008A7600"/>
    <w:rsid w:val="008A7DDF"/>
    <w:rsid w:val="008B08E3"/>
    <w:rsid w:val="008B0B4C"/>
    <w:rsid w:val="008B4717"/>
    <w:rsid w:val="008B490F"/>
    <w:rsid w:val="008B5E6F"/>
    <w:rsid w:val="008C0C69"/>
    <w:rsid w:val="008C14E4"/>
    <w:rsid w:val="008C2EE5"/>
    <w:rsid w:val="008C49F3"/>
    <w:rsid w:val="008C6C88"/>
    <w:rsid w:val="008C6E8D"/>
    <w:rsid w:val="008D14F1"/>
    <w:rsid w:val="008D27E1"/>
    <w:rsid w:val="008D28C1"/>
    <w:rsid w:val="008D39C9"/>
    <w:rsid w:val="008D3DEF"/>
    <w:rsid w:val="008D401F"/>
    <w:rsid w:val="008D44BD"/>
    <w:rsid w:val="008D44D3"/>
    <w:rsid w:val="008D68DB"/>
    <w:rsid w:val="008D7F7A"/>
    <w:rsid w:val="008E0E02"/>
    <w:rsid w:val="008E2D21"/>
    <w:rsid w:val="008E5316"/>
    <w:rsid w:val="008E54B5"/>
    <w:rsid w:val="008E6B6B"/>
    <w:rsid w:val="008E7F70"/>
    <w:rsid w:val="008F78FA"/>
    <w:rsid w:val="009004A2"/>
    <w:rsid w:val="009028AA"/>
    <w:rsid w:val="00902B86"/>
    <w:rsid w:val="009036C8"/>
    <w:rsid w:val="00904C61"/>
    <w:rsid w:val="0090756B"/>
    <w:rsid w:val="009105A9"/>
    <w:rsid w:val="0091149B"/>
    <w:rsid w:val="009127C1"/>
    <w:rsid w:val="00913EC5"/>
    <w:rsid w:val="009153FA"/>
    <w:rsid w:val="00917AC8"/>
    <w:rsid w:val="00922E8C"/>
    <w:rsid w:val="0092407A"/>
    <w:rsid w:val="0092572F"/>
    <w:rsid w:val="009265F5"/>
    <w:rsid w:val="00926DE3"/>
    <w:rsid w:val="00930893"/>
    <w:rsid w:val="009338C5"/>
    <w:rsid w:val="00933C6D"/>
    <w:rsid w:val="00934030"/>
    <w:rsid w:val="009342C3"/>
    <w:rsid w:val="00934991"/>
    <w:rsid w:val="00935940"/>
    <w:rsid w:val="00935CAD"/>
    <w:rsid w:val="00935FD3"/>
    <w:rsid w:val="00940309"/>
    <w:rsid w:val="00940440"/>
    <w:rsid w:val="00942E85"/>
    <w:rsid w:val="00942FAC"/>
    <w:rsid w:val="0094671C"/>
    <w:rsid w:val="00947B29"/>
    <w:rsid w:val="00950DDE"/>
    <w:rsid w:val="009542A5"/>
    <w:rsid w:val="00954725"/>
    <w:rsid w:val="0095527E"/>
    <w:rsid w:val="00955564"/>
    <w:rsid w:val="00961410"/>
    <w:rsid w:val="00962946"/>
    <w:rsid w:val="009648B2"/>
    <w:rsid w:val="00967412"/>
    <w:rsid w:val="00967CEC"/>
    <w:rsid w:val="00970C24"/>
    <w:rsid w:val="0097620E"/>
    <w:rsid w:val="00977C79"/>
    <w:rsid w:val="00985BF8"/>
    <w:rsid w:val="00985F6F"/>
    <w:rsid w:val="00990565"/>
    <w:rsid w:val="00991244"/>
    <w:rsid w:val="00991426"/>
    <w:rsid w:val="00991442"/>
    <w:rsid w:val="00992F26"/>
    <w:rsid w:val="00994A73"/>
    <w:rsid w:val="00995A8F"/>
    <w:rsid w:val="00997DBB"/>
    <w:rsid w:val="009A066B"/>
    <w:rsid w:val="009A073B"/>
    <w:rsid w:val="009A20F8"/>
    <w:rsid w:val="009A3E11"/>
    <w:rsid w:val="009A5439"/>
    <w:rsid w:val="009A62CF"/>
    <w:rsid w:val="009A6B5C"/>
    <w:rsid w:val="009B09FF"/>
    <w:rsid w:val="009B2212"/>
    <w:rsid w:val="009B2574"/>
    <w:rsid w:val="009B4733"/>
    <w:rsid w:val="009B5298"/>
    <w:rsid w:val="009B64D2"/>
    <w:rsid w:val="009B78B3"/>
    <w:rsid w:val="009B7BA5"/>
    <w:rsid w:val="009C1AFF"/>
    <w:rsid w:val="009C1D2A"/>
    <w:rsid w:val="009C5912"/>
    <w:rsid w:val="009C608E"/>
    <w:rsid w:val="009C7D12"/>
    <w:rsid w:val="009D3D02"/>
    <w:rsid w:val="009D4417"/>
    <w:rsid w:val="009E08A7"/>
    <w:rsid w:val="009E12AF"/>
    <w:rsid w:val="009E2F04"/>
    <w:rsid w:val="009E3787"/>
    <w:rsid w:val="009E4DCC"/>
    <w:rsid w:val="009E60F1"/>
    <w:rsid w:val="009E71DE"/>
    <w:rsid w:val="009E73FC"/>
    <w:rsid w:val="009F1169"/>
    <w:rsid w:val="009F166E"/>
    <w:rsid w:val="009F39B9"/>
    <w:rsid w:val="009F471F"/>
    <w:rsid w:val="009F7BCF"/>
    <w:rsid w:val="00A0102F"/>
    <w:rsid w:val="00A06BD4"/>
    <w:rsid w:val="00A06F8F"/>
    <w:rsid w:val="00A073E6"/>
    <w:rsid w:val="00A077E7"/>
    <w:rsid w:val="00A07DE9"/>
    <w:rsid w:val="00A10456"/>
    <w:rsid w:val="00A118B0"/>
    <w:rsid w:val="00A16239"/>
    <w:rsid w:val="00A20582"/>
    <w:rsid w:val="00A2096B"/>
    <w:rsid w:val="00A20B9F"/>
    <w:rsid w:val="00A2181E"/>
    <w:rsid w:val="00A228DD"/>
    <w:rsid w:val="00A22E11"/>
    <w:rsid w:val="00A238DF"/>
    <w:rsid w:val="00A2445E"/>
    <w:rsid w:val="00A247C2"/>
    <w:rsid w:val="00A24A95"/>
    <w:rsid w:val="00A25E93"/>
    <w:rsid w:val="00A26D08"/>
    <w:rsid w:val="00A320BA"/>
    <w:rsid w:val="00A3270C"/>
    <w:rsid w:val="00A37A75"/>
    <w:rsid w:val="00A4119F"/>
    <w:rsid w:val="00A42377"/>
    <w:rsid w:val="00A4609B"/>
    <w:rsid w:val="00A46799"/>
    <w:rsid w:val="00A4721D"/>
    <w:rsid w:val="00A475C4"/>
    <w:rsid w:val="00A520C9"/>
    <w:rsid w:val="00A53F5B"/>
    <w:rsid w:val="00A54C7C"/>
    <w:rsid w:val="00A5501C"/>
    <w:rsid w:val="00A56020"/>
    <w:rsid w:val="00A57026"/>
    <w:rsid w:val="00A61CEF"/>
    <w:rsid w:val="00A64198"/>
    <w:rsid w:val="00A67852"/>
    <w:rsid w:val="00A71B88"/>
    <w:rsid w:val="00A71FB9"/>
    <w:rsid w:val="00A740A0"/>
    <w:rsid w:val="00A76073"/>
    <w:rsid w:val="00A772D2"/>
    <w:rsid w:val="00A809A4"/>
    <w:rsid w:val="00A873A0"/>
    <w:rsid w:val="00A90357"/>
    <w:rsid w:val="00A918E2"/>
    <w:rsid w:val="00A91C4C"/>
    <w:rsid w:val="00A91F93"/>
    <w:rsid w:val="00A938C0"/>
    <w:rsid w:val="00A960C2"/>
    <w:rsid w:val="00A97972"/>
    <w:rsid w:val="00AA127F"/>
    <w:rsid w:val="00AA2501"/>
    <w:rsid w:val="00AA2F79"/>
    <w:rsid w:val="00AA4727"/>
    <w:rsid w:val="00AA5D3C"/>
    <w:rsid w:val="00AA661C"/>
    <w:rsid w:val="00AA68D8"/>
    <w:rsid w:val="00AA6961"/>
    <w:rsid w:val="00AB0DA9"/>
    <w:rsid w:val="00AB2F24"/>
    <w:rsid w:val="00AB3F15"/>
    <w:rsid w:val="00AB4C00"/>
    <w:rsid w:val="00AB641B"/>
    <w:rsid w:val="00AB64EE"/>
    <w:rsid w:val="00AC06D6"/>
    <w:rsid w:val="00AC4609"/>
    <w:rsid w:val="00AC4C65"/>
    <w:rsid w:val="00AC5578"/>
    <w:rsid w:val="00AC583D"/>
    <w:rsid w:val="00AC6672"/>
    <w:rsid w:val="00AC7462"/>
    <w:rsid w:val="00AC7DBC"/>
    <w:rsid w:val="00AD1331"/>
    <w:rsid w:val="00AD15C6"/>
    <w:rsid w:val="00AD313B"/>
    <w:rsid w:val="00AD3C66"/>
    <w:rsid w:val="00AD4F13"/>
    <w:rsid w:val="00AD64C5"/>
    <w:rsid w:val="00AE295C"/>
    <w:rsid w:val="00AE3BF4"/>
    <w:rsid w:val="00AE4B6C"/>
    <w:rsid w:val="00AF0DAD"/>
    <w:rsid w:val="00AF147F"/>
    <w:rsid w:val="00AF1502"/>
    <w:rsid w:val="00AF2101"/>
    <w:rsid w:val="00AF2E7E"/>
    <w:rsid w:val="00AF322F"/>
    <w:rsid w:val="00AF32FF"/>
    <w:rsid w:val="00AF6012"/>
    <w:rsid w:val="00B00184"/>
    <w:rsid w:val="00B00919"/>
    <w:rsid w:val="00B0139E"/>
    <w:rsid w:val="00B02573"/>
    <w:rsid w:val="00B02CDE"/>
    <w:rsid w:val="00B035EC"/>
    <w:rsid w:val="00B03C29"/>
    <w:rsid w:val="00B05E4A"/>
    <w:rsid w:val="00B05F0D"/>
    <w:rsid w:val="00B07E1E"/>
    <w:rsid w:val="00B10BEC"/>
    <w:rsid w:val="00B128C9"/>
    <w:rsid w:val="00B13301"/>
    <w:rsid w:val="00B14FA6"/>
    <w:rsid w:val="00B152B6"/>
    <w:rsid w:val="00B177D3"/>
    <w:rsid w:val="00B208D0"/>
    <w:rsid w:val="00B22A11"/>
    <w:rsid w:val="00B25064"/>
    <w:rsid w:val="00B25214"/>
    <w:rsid w:val="00B26089"/>
    <w:rsid w:val="00B26A4C"/>
    <w:rsid w:val="00B30B2E"/>
    <w:rsid w:val="00B315EF"/>
    <w:rsid w:val="00B31FFE"/>
    <w:rsid w:val="00B34541"/>
    <w:rsid w:val="00B36584"/>
    <w:rsid w:val="00B37BC5"/>
    <w:rsid w:val="00B405B1"/>
    <w:rsid w:val="00B438A9"/>
    <w:rsid w:val="00B43D2C"/>
    <w:rsid w:val="00B43EE8"/>
    <w:rsid w:val="00B45637"/>
    <w:rsid w:val="00B46212"/>
    <w:rsid w:val="00B46384"/>
    <w:rsid w:val="00B46D2E"/>
    <w:rsid w:val="00B47446"/>
    <w:rsid w:val="00B47AE7"/>
    <w:rsid w:val="00B47E7A"/>
    <w:rsid w:val="00B504ED"/>
    <w:rsid w:val="00B51036"/>
    <w:rsid w:val="00B523BC"/>
    <w:rsid w:val="00B54CA5"/>
    <w:rsid w:val="00B5536A"/>
    <w:rsid w:val="00B56349"/>
    <w:rsid w:val="00B570D8"/>
    <w:rsid w:val="00B57BB7"/>
    <w:rsid w:val="00B61A16"/>
    <w:rsid w:val="00B62BF5"/>
    <w:rsid w:val="00B64B58"/>
    <w:rsid w:val="00B64C42"/>
    <w:rsid w:val="00B67131"/>
    <w:rsid w:val="00B72738"/>
    <w:rsid w:val="00B72BAC"/>
    <w:rsid w:val="00B73CAF"/>
    <w:rsid w:val="00B73D89"/>
    <w:rsid w:val="00B76A3C"/>
    <w:rsid w:val="00B81711"/>
    <w:rsid w:val="00B82E4D"/>
    <w:rsid w:val="00B85146"/>
    <w:rsid w:val="00B870A4"/>
    <w:rsid w:val="00B919D8"/>
    <w:rsid w:val="00B92961"/>
    <w:rsid w:val="00B92DD1"/>
    <w:rsid w:val="00B9335B"/>
    <w:rsid w:val="00B94937"/>
    <w:rsid w:val="00BA0B8A"/>
    <w:rsid w:val="00BA100F"/>
    <w:rsid w:val="00BA1630"/>
    <w:rsid w:val="00BA4569"/>
    <w:rsid w:val="00BA48AD"/>
    <w:rsid w:val="00BA5117"/>
    <w:rsid w:val="00BA5688"/>
    <w:rsid w:val="00BA56B2"/>
    <w:rsid w:val="00BA592D"/>
    <w:rsid w:val="00BA5FCD"/>
    <w:rsid w:val="00BA6459"/>
    <w:rsid w:val="00BA6D36"/>
    <w:rsid w:val="00BA6F3B"/>
    <w:rsid w:val="00BB23A0"/>
    <w:rsid w:val="00BB3315"/>
    <w:rsid w:val="00BB4DBE"/>
    <w:rsid w:val="00BB7044"/>
    <w:rsid w:val="00BC0393"/>
    <w:rsid w:val="00BC3D53"/>
    <w:rsid w:val="00BC468E"/>
    <w:rsid w:val="00BC472D"/>
    <w:rsid w:val="00BC7527"/>
    <w:rsid w:val="00BD0F7B"/>
    <w:rsid w:val="00BD7272"/>
    <w:rsid w:val="00BD7990"/>
    <w:rsid w:val="00BE0139"/>
    <w:rsid w:val="00BE14FD"/>
    <w:rsid w:val="00BE52C1"/>
    <w:rsid w:val="00BE5FFE"/>
    <w:rsid w:val="00BE63AC"/>
    <w:rsid w:val="00BE6CC9"/>
    <w:rsid w:val="00BE763F"/>
    <w:rsid w:val="00BF2968"/>
    <w:rsid w:val="00BF40D3"/>
    <w:rsid w:val="00BF6749"/>
    <w:rsid w:val="00BF676E"/>
    <w:rsid w:val="00BF7B78"/>
    <w:rsid w:val="00BF7C5E"/>
    <w:rsid w:val="00C01314"/>
    <w:rsid w:val="00C02AD8"/>
    <w:rsid w:val="00C03C27"/>
    <w:rsid w:val="00C042DA"/>
    <w:rsid w:val="00C0526F"/>
    <w:rsid w:val="00C05815"/>
    <w:rsid w:val="00C0671D"/>
    <w:rsid w:val="00C070E7"/>
    <w:rsid w:val="00C1083A"/>
    <w:rsid w:val="00C1235F"/>
    <w:rsid w:val="00C14B99"/>
    <w:rsid w:val="00C2174C"/>
    <w:rsid w:val="00C21BAF"/>
    <w:rsid w:val="00C22157"/>
    <w:rsid w:val="00C23493"/>
    <w:rsid w:val="00C235B1"/>
    <w:rsid w:val="00C27086"/>
    <w:rsid w:val="00C30BF7"/>
    <w:rsid w:val="00C33CF1"/>
    <w:rsid w:val="00C36671"/>
    <w:rsid w:val="00C36856"/>
    <w:rsid w:val="00C40BDB"/>
    <w:rsid w:val="00C41683"/>
    <w:rsid w:val="00C42E19"/>
    <w:rsid w:val="00C430F1"/>
    <w:rsid w:val="00C43AD6"/>
    <w:rsid w:val="00C45F5B"/>
    <w:rsid w:val="00C47089"/>
    <w:rsid w:val="00C511E9"/>
    <w:rsid w:val="00C5212C"/>
    <w:rsid w:val="00C53121"/>
    <w:rsid w:val="00C544EE"/>
    <w:rsid w:val="00C54A26"/>
    <w:rsid w:val="00C55B12"/>
    <w:rsid w:val="00C579D9"/>
    <w:rsid w:val="00C57FEE"/>
    <w:rsid w:val="00C602C1"/>
    <w:rsid w:val="00C61169"/>
    <w:rsid w:val="00C6117B"/>
    <w:rsid w:val="00C612F9"/>
    <w:rsid w:val="00C62F07"/>
    <w:rsid w:val="00C64AF3"/>
    <w:rsid w:val="00C67B5A"/>
    <w:rsid w:val="00C725D7"/>
    <w:rsid w:val="00C72A09"/>
    <w:rsid w:val="00C73EF5"/>
    <w:rsid w:val="00C75AB8"/>
    <w:rsid w:val="00C76FA3"/>
    <w:rsid w:val="00C77970"/>
    <w:rsid w:val="00C809F9"/>
    <w:rsid w:val="00C82F0E"/>
    <w:rsid w:val="00C85AD1"/>
    <w:rsid w:val="00C95197"/>
    <w:rsid w:val="00C95927"/>
    <w:rsid w:val="00C96223"/>
    <w:rsid w:val="00CA3E0F"/>
    <w:rsid w:val="00CA3FC7"/>
    <w:rsid w:val="00CA419A"/>
    <w:rsid w:val="00CA4550"/>
    <w:rsid w:val="00CA47E0"/>
    <w:rsid w:val="00CA5B74"/>
    <w:rsid w:val="00CA6DD9"/>
    <w:rsid w:val="00CA78EC"/>
    <w:rsid w:val="00CB0DB6"/>
    <w:rsid w:val="00CB1FAE"/>
    <w:rsid w:val="00CB3905"/>
    <w:rsid w:val="00CB432F"/>
    <w:rsid w:val="00CB433D"/>
    <w:rsid w:val="00CB63F6"/>
    <w:rsid w:val="00CC09D9"/>
    <w:rsid w:val="00CC17AC"/>
    <w:rsid w:val="00CC1AF5"/>
    <w:rsid w:val="00CC1C25"/>
    <w:rsid w:val="00CC1F8F"/>
    <w:rsid w:val="00CC3754"/>
    <w:rsid w:val="00CC544C"/>
    <w:rsid w:val="00CC6417"/>
    <w:rsid w:val="00CD03D9"/>
    <w:rsid w:val="00CD07B9"/>
    <w:rsid w:val="00CD0991"/>
    <w:rsid w:val="00CD182A"/>
    <w:rsid w:val="00CD252D"/>
    <w:rsid w:val="00CD4B8A"/>
    <w:rsid w:val="00CD4DC6"/>
    <w:rsid w:val="00CD6EC4"/>
    <w:rsid w:val="00CE4401"/>
    <w:rsid w:val="00CE5CB8"/>
    <w:rsid w:val="00CE668E"/>
    <w:rsid w:val="00CF2497"/>
    <w:rsid w:val="00CF5447"/>
    <w:rsid w:val="00CF7653"/>
    <w:rsid w:val="00CF78EF"/>
    <w:rsid w:val="00D00EC4"/>
    <w:rsid w:val="00D018D7"/>
    <w:rsid w:val="00D01DB2"/>
    <w:rsid w:val="00D022DA"/>
    <w:rsid w:val="00D02C75"/>
    <w:rsid w:val="00D070B6"/>
    <w:rsid w:val="00D073D6"/>
    <w:rsid w:val="00D11185"/>
    <w:rsid w:val="00D11404"/>
    <w:rsid w:val="00D126A7"/>
    <w:rsid w:val="00D13B43"/>
    <w:rsid w:val="00D1571C"/>
    <w:rsid w:val="00D15A8E"/>
    <w:rsid w:val="00D164B9"/>
    <w:rsid w:val="00D2220C"/>
    <w:rsid w:val="00D243E6"/>
    <w:rsid w:val="00D268A5"/>
    <w:rsid w:val="00D26929"/>
    <w:rsid w:val="00D2774F"/>
    <w:rsid w:val="00D30D53"/>
    <w:rsid w:val="00D3168C"/>
    <w:rsid w:val="00D31DFE"/>
    <w:rsid w:val="00D335FB"/>
    <w:rsid w:val="00D33791"/>
    <w:rsid w:val="00D33D09"/>
    <w:rsid w:val="00D36AB7"/>
    <w:rsid w:val="00D37204"/>
    <w:rsid w:val="00D41F75"/>
    <w:rsid w:val="00D42B5A"/>
    <w:rsid w:val="00D432D0"/>
    <w:rsid w:val="00D4402C"/>
    <w:rsid w:val="00D448EC"/>
    <w:rsid w:val="00D502E8"/>
    <w:rsid w:val="00D516F4"/>
    <w:rsid w:val="00D54DC5"/>
    <w:rsid w:val="00D54E3F"/>
    <w:rsid w:val="00D57045"/>
    <w:rsid w:val="00D64B97"/>
    <w:rsid w:val="00D661BE"/>
    <w:rsid w:val="00D67B6F"/>
    <w:rsid w:val="00D70E36"/>
    <w:rsid w:val="00D71EE7"/>
    <w:rsid w:val="00D7438F"/>
    <w:rsid w:val="00D81118"/>
    <w:rsid w:val="00D821EB"/>
    <w:rsid w:val="00D82E80"/>
    <w:rsid w:val="00D8447A"/>
    <w:rsid w:val="00D8458F"/>
    <w:rsid w:val="00D85BBA"/>
    <w:rsid w:val="00D87484"/>
    <w:rsid w:val="00D87988"/>
    <w:rsid w:val="00D87DF5"/>
    <w:rsid w:val="00D91988"/>
    <w:rsid w:val="00D92A59"/>
    <w:rsid w:val="00D96C9A"/>
    <w:rsid w:val="00D97E03"/>
    <w:rsid w:val="00DA1282"/>
    <w:rsid w:val="00DA26D7"/>
    <w:rsid w:val="00DA7064"/>
    <w:rsid w:val="00DA72EB"/>
    <w:rsid w:val="00DB2406"/>
    <w:rsid w:val="00DB30F2"/>
    <w:rsid w:val="00DB3BC0"/>
    <w:rsid w:val="00DB5342"/>
    <w:rsid w:val="00DB6424"/>
    <w:rsid w:val="00DB78D6"/>
    <w:rsid w:val="00DC03BA"/>
    <w:rsid w:val="00DC1DC5"/>
    <w:rsid w:val="00DC772A"/>
    <w:rsid w:val="00DD0D14"/>
    <w:rsid w:val="00DD0D53"/>
    <w:rsid w:val="00DD4C59"/>
    <w:rsid w:val="00DD547F"/>
    <w:rsid w:val="00DD6BE5"/>
    <w:rsid w:val="00DE2388"/>
    <w:rsid w:val="00DE4F68"/>
    <w:rsid w:val="00DE58A2"/>
    <w:rsid w:val="00DE5D7C"/>
    <w:rsid w:val="00DE77FB"/>
    <w:rsid w:val="00DF1A64"/>
    <w:rsid w:val="00DF1D08"/>
    <w:rsid w:val="00DF2487"/>
    <w:rsid w:val="00DF3678"/>
    <w:rsid w:val="00DF448B"/>
    <w:rsid w:val="00DF7817"/>
    <w:rsid w:val="00DF7901"/>
    <w:rsid w:val="00DF7966"/>
    <w:rsid w:val="00E001B5"/>
    <w:rsid w:val="00E00A7A"/>
    <w:rsid w:val="00E050D4"/>
    <w:rsid w:val="00E0545D"/>
    <w:rsid w:val="00E05DE8"/>
    <w:rsid w:val="00E062CF"/>
    <w:rsid w:val="00E06474"/>
    <w:rsid w:val="00E06477"/>
    <w:rsid w:val="00E0770D"/>
    <w:rsid w:val="00E0792D"/>
    <w:rsid w:val="00E104F9"/>
    <w:rsid w:val="00E10BA5"/>
    <w:rsid w:val="00E119EA"/>
    <w:rsid w:val="00E1367D"/>
    <w:rsid w:val="00E16B2F"/>
    <w:rsid w:val="00E20B0A"/>
    <w:rsid w:val="00E210EA"/>
    <w:rsid w:val="00E2148A"/>
    <w:rsid w:val="00E2696D"/>
    <w:rsid w:val="00E30039"/>
    <w:rsid w:val="00E30C1B"/>
    <w:rsid w:val="00E315DA"/>
    <w:rsid w:val="00E3361D"/>
    <w:rsid w:val="00E33875"/>
    <w:rsid w:val="00E34A57"/>
    <w:rsid w:val="00E369DF"/>
    <w:rsid w:val="00E36E93"/>
    <w:rsid w:val="00E40CA4"/>
    <w:rsid w:val="00E4388A"/>
    <w:rsid w:val="00E465DA"/>
    <w:rsid w:val="00E52738"/>
    <w:rsid w:val="00E53798"/>
    <w:rsid w:val="00E565C2"/>
    <w:rsid w:val="00E57797"/>
    <w:rsid w:val="00E60100"/>
    <w:rsid w:val="00E6063A"/>
    <w:rsid w:val="00E6305E"/>
    <w:rsid w:val="00E64F57"/>
    <w:rsid w:val="00E65770"/>
    <w:rsid w:val="00E7179B"/>
    <w:rsid w:val="00E720E2"/>
    <w:rsid w:val="00E72705"/>
    <w:rsid w:val="00E734BE"/>
    <w:rsid w:val="00E76075"/>
    <w:rsid w:val="00E761E8"/>
    <w:rsid w:val="00E7762D"/>
    <w:rsid w:val="00E81410"/>
    <w:rsid w:val="00E8181A"/>
    <w:rsid w:val="00E91097"/>
    <w:rsid w:val="00E91558"/>
    <w:rsid w:val="00E91CF9"/>
    <w:rsid w:val="00E92971"/>
    <w:rsid w:val="00E96160"/>
    <w:rsid w:val="00EA0CFE"/>
    <w:rsid w:val="00EA197E"/>
    <w:rsid w:val="00EA3080"/>
    <w:rsid w:val="00EA5308"/>
    <w:rsid w:val="00EA7680"/>
    <w:rsid w:val="00EA7A00"/>
    <w:rsid w:val="00EB04CB"/>
    <w:rsid w:val="00EB1AF5"/>
    <w:rsid w:val="00EB1F82"/>
    <w:rsid w:val="00EB20E2"/>
    <w:rsid w:val="00EB4897"/>
    <w:rsid w:val="00EB4FA8"/>
    <w:rsid w:val="00EB6C79"/>
    <w:rsid w:val="00EB7AB5"/>
    <w:rsid w:val="00EB7EDB"/>
    <w:rsid w:val="00EC468E"/>
    <w:rsid w:val="00EC4B65"/>
    <w:rsid w:val="00ED46B5"/>
    <w:rsid w:val="00ED63DB"/>
    <w:rsid w:val="00EE216D"/>
    <w:rsid w:val="00EE309F"/>
    <w:rsid w:val="00EE45D2"/>
    <w:rsid w:val="00EE4EBD"/>
    <w:rsid w:val="00EE5622"/>
    <w:rsid w:val="00EE6BDC"/>
    <w:rsid w:val="00EF05C0"/>
    <w:rsid w:val="00EF0B9D"/>
    <w:rsid w:val="00EF1EDB"/>
    <w:rsid w:val="00EF3385"/>
    <w:rsid w:val="00EF54BD"/>
    <w:rsid w:val="00EF5C8C"/>
    <w:rsid w:val="00F0058D"/>
    <w:rsid w:val="00F01450"/>
    <w:rsid w:val="00F01605"/>
    <w:rsid w:val="00F02F97"/>
    <w:rsid w:val="00F0322B"/>
    <w:rsid w:val="00F05FC7"/>
    <w:rsid w:val="00F1090F"/>
    <w:rsid w:val="00F13CDC"/>
    <w:rsid w:val="00F151B4"/>
    <w:rsid w:val="00F17E89"/>
    <w:rsid w:val="00F217BE"/>
    <w:rsid w:val="00F22954"/>
    <w:rsid w:val="00F22DDD"/>
    <w:rsid w:val="00F25514"/>
    <w:rsid w:val="00F3108D"/>
    <w:rsid w:val="00F31772"/>
    <w:rsid w:val="00F32F84"/>
    <w:rsid w:val="00F330E4"/>
    <w:rsid w:val="00F338E9"/>
    <w:rsid w:val="00F33E1C"/>
    <w:rsid w:val="00F36352"/>
    <w:rsid w:val="00F36509"/>
    <w:rsid w:val="00F401A9"/>
    <w:rsid w:val="00F40333"/>
    <w:rsid w:val="00F44D36"/>
    <w:rsid w:val="00F45797"/>
    <w:rsid w:val="00F469B3"/>
    <w:rsid w:val="00F506B2"/>
    <w:rsid w:val="00F508E1"/>
    <w:rsid w:val="00F509F5"/>
    <w:rsid w:val="00F51174"/>
    <w:rsid w:val="00F51F31"/>
    <w:rsid w:val="00F53183"/>
    <w:rsid w:val="00F54105"/>
    <w:rsid w:val="00F549A0"/>
    <w:rsid w:val="00F55343"/>
    <w:rsid w:val="00F5708F"/>
    <w:rsid w:val="00F5719D"/>
    <w:rsid w:val="00F60453"/>
    <w:rsid w:val="00F6082F"/>
    <w:rsid w:val="00F60BAB"/>
    <w:rsid w:val="00F60C2F"/>
    <w:rsid w:val="00F674BD"/>
    <w:rsid w:val="00F70C66"/>
    <w:rsid w:val="00F71942"/>
    <w:rsid w:val="00F729B9"/>
    <w:rsid w:val="00F74671"/>
    <w:rsid w:val="00F753E2"/>
    <w:rsid w:val="00F76F25"/>
    <w:rsid w:val="00F808EA"/>
    <w:rsid w:val="00F823CD"/>
    <w:rsid w:val="00F856A8"/>
    <w:rsid w:val="00F868CA"/>
    <w:rsid w:val="00F8707D"/>
    <w:rsid w:val="00F877D9"/>
    <w:rsid w:val="00F87AE6"/>
    <w:rsid w:val="00F9012F"/>
    <w:rsid w:val="00F92AAA"/>
    <w:rsid w:val="00F93EA6"/>
    <w:rsid w:val="00F94394"/>
    <w:rsid w:val="00F94FE5"/>
    <w:rsid w:val="00FA1E51"/>
    <w:rsid w:val="00FA3124"/>
    <w:rsid w:val="00FA3C65"/>
    <w:rsid w:val="00FA60ED"/>
    <w:rsid w:val="00FA70D6"/>
    <w:rsid w:val="00FA759E"/>
    <w:rsid w:val="00FA76A4"/>
    <w:rsid w:val="00FB133D"/>
    <w:rsid w:val="00FB2FEF"/>
    <w:rsid w:val="00FB308F"/>
    <w:rsid w:val="00FB3D40"/>
    <w:rsid w:val="00FB3FB7"/>
    <w:rsid w:val="00FB48B4"/>
    <w:rsid w:val="00FB4C05"/>
    <w:rsid w:val="00FB6583"/>
    <w:rsid w:val="00FC02C3"/>
    <w:rsid w:val="00FC1301"/>
    <w:rsid w:val="00FC3B76"/>
    <w:rsid w:val="00FC3CBC"/>
    <w:rsid w:val="00FC4C01"/>
    <w:rsid w:val="00FC4E6D"/>
    <w:rsid w:val="00FD05D3"/>
    <w:rsid w:val="00FD135E"/>
    <w:rsid w:val="00FD3812"/>
    <w:rsid w:val="00FD5198"/>
    <w:rsid w:val="00FD5B55"/>
    <w:rsid w:val="00FD6F33"/>
    <w:rsid w:val="00FD7084"/>
    <w:rsid w:val="00FE33A1"/>
    <w:rsid w:val="00FE3B17"/>
    <w:rsid w:val="00FE3D4C"/>
    <w:rsid w:val="00FE4107"/>
    <w:rsid w:val="00FE42EA"/>
    <w:rsid w:val="00FE5946"/>
    <w:rsid w:val="00FE5AF9"/>
    <w:rsid w:val="00FE6F7E"/>
    <w:rsid w:val="00FE7204"/>
    <w:rsid w:val="00FF1D1D"/>
    <w:rsid w:val="00FF2116"/>
    <w:rsid w:val="00FF426B"/>
    <w:rsid w:val="00FF4C19"/>
    <w:rsid w:val="00FF5256"/>
    <w:rsid w:val="00FF6038"/>
    <w:rsid w:val="00FF64AA"/>
    <w:rsid w:val="00FF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875A6"/>
  <w15:chartTrackingRefBased/>
  <w15:docId w15:val="{F3CDAD9A-84DC-4A0B-8E24-18B39A84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FBC"/>
    <w:pPr>
      <w:spacing w:after="200" w:line="276" w:lineRule="auto"/>
    </w:pPr>
    <w:rPr>
      <w:rFonts w:ascii="Times New Roman" w:eastAsia="Times New Roman" w:hAnsi="Times New Roman" w:cs="Times New Roman"/>
    </w:rPr>
  </w:style>
  <w:style w:type="paragraph" w:styleId="10">
    <w:name w:val="heading 1"/>
    <w:basedOn w:val="a"/>
    <w:next w:val="a"/>
    <w:link w:val="11"/>
    <w:qFormat/>
    <w:rsid w:val="008745BC"/>
    <w:pPr>
      <w:keepNext/>
      <w:keepLines/>
      <w:spacing w:before="240" w:after="0"/>
      <w:outlineLvl w:val="0"/>
    </w:pPr>
    <w:rPr>
      <w:color w:val="365F91"/>
      <w:sz w:val="32"/>
      <w:szCs w:val="32"/>
    </w:rPr>
  </w:style>
  <w:style w:type="paragraph" w:styleId="2">
    <w:name w:val="heading 2"/>
    <w:basedOn w:val="a"/>
    <w:next w:val="a"/>
    <w:link w:val="20"/>
    <w:uiPriority w:val="9"/>
    <w:unhideWhenUsed/>
    <w:qFormat/>
    <w:rsid w:val="002E6C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C13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1067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71C"/>
    <w:pPr>
      <w:spacing w:before="100" w:beforeAutospacing="1" w:after="100" w:afterAutospacing="1" w:line="240" w:lineRule="auto"/>
    </w:pPr>
    <w:rPr>
      <w:sz w:val="24"/>
      <w:szCs w:val="24"/>
      <w:lang w:eastAsia="ru-RU"/>
    </w:rPr>
  </w:style>
  <w:style w:type="paragraph" w:styleId="a4">
    <w:name w:val="header"/>
    <w:basedOn w:val="a"/>
    <w:link w:val="a5"/>
    <w:uiPriority w:val="99"/>
    <w:unhideWhenUsed/>
    <w:rsid w:val="00D157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571C"/>
    <w:rPr>
      <w:rFonts w:ascii="Times New Roman" w:eastAsia="Times New Roman" w:hAnsi="Times New Roman" w:cs="Times New Roman"/>
    </w:rPr>
  </w:style>
  <w:style w:type="paragraph" w:styleId="a6">
    <w:name w:val="footer"/>
    <w:basedOn w:val="a"/>
    <w:link w:val="a7"/>
    <w:uiPriority w:val="99"/>
    <w:unhideWhenUsed/>
    <w:rsid w:val="00D157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571C"/>
    <w:rPr>
      <w:rFonts w:ascii="Times New Roman" w:eastAsia="Times New Roman" w:hAnsi="Times New Roman" w:cs="Times New Roman"/>
    </w:rPr>
  </w:style>
  <w:style w:type="character" w:styleId="a8">
    <w:name w:val="page number"/>
    <w:rsid w:val="00D1571C"/>
    <w:rPr>
      <w:rFonts w:cs="Times New Roman"/>
    </w:rPr>
  </w:style>
  <w:style w:type="paragraph" w:styleId="12">
    <w:name w:val="toc 1"/>
    <w:basedOn w:val="a"/>
    <w:next w:val="a"/>
    <w:autoRedefine/>
    <w:uiPriority w:val="39"/>
    <w:unhideWhenUsed/>
    <w:rsid w:val="00B523BC"/>
    <w:pPr>
      <w:tabs>
        <w:tab w:val="left" w:pos="440"/>
        <w:tab w:val="right" w:leader="dot" w:pos="10195"/>
      </w:tabs>
      <w:spacing w:after="0" w:line="240" w:lineRule="auto"/>
    </w:pPr>
  </w:style>
  <w:style w:type="character" w:styleId="a9">
    <w:name w:val="Hyperlink"/>
    <w:uiPriority w:val="99"/>
    <w:unhideWhenUsed/>
    <w:rsid w:val="00D1571C"/>
    <w:rPr>
      <w:color w:val="0000FF"/>
      <w:u w:val="single"/>
    </w:rPr>
  </w:style>
  <w:style w:type="character" w:customStyle="1" w:styleId="11">
    <w:name w:val="Заголовок 1 Знак"/>
    <w:basedOn w:val="a0"/>
    <w:link w:val="10"/>
    <w:rsid w:val="008745BC"/>
    <w:rPr>
      <w:rFonts w:ascii="Times New Roman" w:eastAsia="Times New Roman" w:hAnsi="Times New Roman" w:cs="Times New Roman"/>
      <w:color w:val="365F91"/>
      <w:sz w:val="32"/>
      <w:szCs w:val="32"/>
    </w:rPr>
  </w:style>
  <w:style w:type="table" w:styleId="aa">
    <w:name w:val="Table Grid"/>
    <w:basedOn w:val="a1"/>
    <w:uiPriority w:val="39"/>
    <w:rsid w:val="0087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маркированный,Bullet_IRAO,Мой Список,List Paragraph_0,Bullets before,-Абзац списка,Bullet List,FooterText,numbered,Содержание. 2 уровень,AC List 01,Заголовок_3,Подпись рисунка,Heading1,Colorful List - Accent 11,Bullet Points,без абзаца,Абза"/>
    <w:basedOn w:val="a"/>
    <w:link w:val="ac"/>
    <w:uiPriority w:val="34"/>
    <w:qFormat/>
    <w:rsid w:val="001A2299"/>
    <w:pPr>
      <w:spacing w:after="0" w:line="240" w:lineRule="auto"/>
      <w:ind w:left="720"/>
      <w:contextualSpacing/>
      <w:jc w:val="both"/>
    </w:pPr>
    <w:rPr>
      <w:sz w:val="24"/>
      <w:szCs w:val="20"/>
      <w:lang w:eastAsia="ru-RU"/>
    </w:rPr>
  </w:style>
  <w:style w:type="character" w:customStyle="1" w:styleId="ac">
    <w:name w:val="Абзац списка Знак"/>
    <w:aliases w:val="маркированный Знак,Bullet_IRAO Знак,Мой Список Знак,List Paragraph_0 Знак,Bullets before Знак,-Абзац списка Знак,Bullet List Знак,FooterText Знак,numbered Знак,Содержание. 2 уровень Знак,AC List 01 Знак,Заголовок_3 Знак,Heading1 Знак"/>
    <w:basedOn w:val="a0"/>
    <w:link w:val="ab"/>
    <w:uiPriority w:val="34"/>
    <w:locked/>
    <w:rsid w:val="001A2299"/>
    <w:rPr>
      <w:rFonts w:ascii="Times New Roman" w:eastAsia="Times New Roman" w:hAnsi="Times New Roman" w:cs="Times New Roman"/>
      <w:sz w:val="24"/>
      <w:szCs w:val="20"/>
      <w:lang w:eastAsia="ru-RU"/>
    </w:rPr>
  </w:style>
  <w:style w:type="character" w:customStyle="1" w:styleId="s0">
    <w:name w:val="s0"/>
    <w:basedOn w:val="a0"/>
    <w:rsid w:val="004F69D5"/>
    <w:rPr>
      <w:rFonts w:ascii="Times New Roman" w:hAnsi="Times New Roman" w:cs="Times New Roman"/>
      <w:color w:val="000000"/>
      <w:sz w:val="20"/>
      <w:szCs w:val="20"/>
      <w:u w:val="none"/>
      <w:effect w:val="none"/>
    </w:rPr>
  </w:style>
  <w:style w:type="paragraph" w:styleId="ad">
    <w:name w:val="Balloon Text"/>
    <w:basedOn w:val="a"/>
    <w:link w:val="ae"/>
    <w:uiPriority w:val="99"/>
    <w:semiHidden/>
    <w:unhideWhenUsed/>
    <w:rsid w:val="002E6C9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6C92"/>
    <w:rPr>
      <w:rFonts w:ascii="Segoe UI" w:eastAsia="Times New Roman" w:hAnsi="Segoe UI" w:cs="Segoe UI"/>
      <w:sz w:val="18"/>
      <w:szCs w:val="18"/>
    </w:rPr>
  </w:style>
  <w:style w:type="character" w:customStyle="1" w:styleId="20">
    <w:name w:val="Заголовок 2 Знак"/>
    <w:basedOn w:val="a0"/>
    <w:link w:val="2"/>
    <w:uiPriority w:val="9"/>
    <w:rsid w:val="002E6C92"/>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D11185"/>
    <w:pPr>
      <w:spacing w:after="100"/>
      <w:ind w:left="220"/>
    </w:pPr>
  </w:style>
  <w:style w:type="character" w:customStyle="1" w:styleId="30">
    <w:name w:val="Заголовок 3 Знак"/>
    <w:basedOn w:val="a0"/>
    <w:link w:val="3"/>
    <w:uiPriority w:val="9"/>
    <w:rsid w:val="00FC1301"/>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EF1EDB"/>
    <w:pPr>
      <w:spacing w:after="100"/>
      <w:ind w:left="440"/>
    </w:pPr>
  </w:style>
  <w:style w:type="character" w:styleId="af">
    <w:name w:val="annotation reference"/>
    <w:basedOn w:val="a0"/>
    <w:uiPriority w:val="99"/>
    <w:semiHidden/>
    <w:unhideWhenUsed/>
    <w:rsid w:val="00DA7064"/>
    <w:rPr>
      <w:sz w:val="16"/>
      <w:szCs w:val="16"/>
    </w:rPr>
  </w:style>
  <w:style w:type="paragraph" w:styleId="af0">
    <w:name w:val="annotation text"/>
    <w:basedOn w:val="a"/>
    <w:link w:val="af1"/>
    <w:uiPriority w:val="99"/>
    <w:unhideWhenUsed/>
    <w:rsid w:val="00DA7064"/>
    <w:pPr>
      <w:spacing w:line="240" w:lineRule="auto"/>
    </w:pPr>
    <w:rPr>
      <w:sz w:val="20"/>
      <w:szCs w:val="20"/>
    </w:rPr>
  </w:style>
  <w:style w:type="character" w:customStyle="1" w:styleId="af1">
    <w:name w:val="Текст примечания Знак"/>
    <w:basedOn w:val="a0"/>
    <w:link w:val="af0"/>
    <w:uiPriority w:val="99"/>
    <w:rsid w:val="00DA7064"/>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DA7064"/>
    <w:rPr>
      <w:b/>
      <w:bCs/>
    </w:rPr>
  </w:style>
  <w:style w:type="character" w:customStyle="1" w:styleId="af3">
    <w:name w:val="Тема примечания Знак"/>
    <w:basedOn w:val="af1"/>
    <w:link w:val="af2"/>
    <w:uiPriority w:val="99"/>
    <w:semiHidden/>
    <w:rsid w:val="00DA7064"/>
    <w:rPr>
      <w:rFonts w:ascii="Times New Roman" w:eastAsia="Times New Roman" w:hAnsi="Times New Roman" w:cs="Times New Roman"/>
      <w:b/>
      <w:bCs/>
      <w:sz w:val="20"/>
      <w:szCs w:val="20"/>
    </w:rPr>
  </w:style>
  <w:style w:type="character" w:customStyle="1" w:styleId="40">
    <w:name w:val="Заголовок 4 Знак"/>
    <w:basedOn w:val="a0"/>
    <w:link w:val="4"/>
    <w:uiPriority w:val="9"/>
    <w:rsid w:val="001067AD"/>
    <w:rPr>
      <w:rFonts w:asciiTheme="majorHAnsi" w:eastAsiaTheme="majorEastAsia" w:hAnsiTheme="majorHAnsi" w:cstheme="majorBidi"/>
      <w:i/>
      <w:iCs/>
      <w:color w:val="2E74B5" w:themeColor="accent1" w:themeShade="BF"/>
    </w:rPr>
  </w:style>
  <w:style w:type="paragraph" w:styleId="af4">
    <w:name w:val="Revision"/>
    <w:hidden/>
    <w:uiPriority w:val="99"/>
    <w:semiHidden/>
    <w:rsid w:val="00BA100F"/>
    <w:pPr>
      <w:spacing w:after="0" w:line="240" w:lineRule="auto"/>
    </w:pPr>
    <w:rPr>
      <w:rFonts w:ascii="Times New Roman" w:eastAsia="Times New Roman" w:hAnsi="Times New Roman" w:cs="Times New Roman"/>
    </w:rPr>
  </w:style>
  <w:style w:type="character" w:styleId="af5">
    <w:name w:val="Strong"/>
    <w:basedOn w:val="a0"/>
    <w:uiPriority w:val="22"/>
    <w:qFormat/>
    <w:rsid w:val="005A5C1C"/>
    <w:rPr>
      <w:b/>
      <w:bCs/>
    </w:rPr>
  </w:style>
  <w:style w:type="character" w:styleId="af6">
    <w:name w:val="Emphasis"/>
    <w:basedOn w:val="a0"/>
    <w:uiPriority w:val="20"/>
    <w:qFormat/>
    <w:rsid w:val="00F508E1"/>
    <w:rPr>
      <w:i/>
      <w:iCs/>
    </w:rPr>
  </w:style>
  <w:style w:type="paragraph" w:styleId="af7">
    <w:name w:val="Body Text"/>
    <w:basedOn w:val="a"/>
    <w:link w:val="af8"/>
    <w:qFormat/>
    <w:rsid w:val="00AC7462"/>
    <w:pPr>
      <w:widowControl w:val="0"/>
      <w:spacing w:after="0" w:line="240" w:lineRule="auto"/>
      <w:ind w:left="113" w:firstLine="708"/>
    </w:pPr>
    <w:rPr>
      <w:rFonts w:cstheme="minorBidi"/>
      <w:sz w:val="28"/>
      <w:szCs w:val="28"/>
      <w:lang w:val="en-US"/>
    </w:rPr>
  </w:style>
  <w:style w:type="character" w:customStyle="1" w:styleId="af8">
    <w:name w:val="Основной текст Знак"/>
    <w:basedOn w:val="a0"/>
    <w:link w:val="af7"/>
    <w:rsid w:val="00AC7462"/>
    <w:rPr>
      <w:rFonts w:ascii="Times New Roman" w:eastAsia="Times New Roman" w:hAnsi="Times New Roman"/>
      <w:sz w:val="28"/>
      <w:szCs w:val="28"/>
      <w:lang w:val="en-US"/>
    </w:rPr>
  </w:style>
  <w:style w:type="table" w:customStyle="1" w:styleId="13">
    <w:name w:val="Сетка таблицы1"/>
    <w:basedOn w:val="a1"/>
    <w:next w:val="aa"/>
    <w:uiPriority w:val="59"/>
    <w:rsid w:val="00AC746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AC746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a"/>
    <w:uiPriority w:val="59"/>
    <w:rsid w:val="00867199"/>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aliases w:val="свой,No Spacing1,Елжан,Без интервала11"/>
    <w:link w:val="afa"/>
    <w:uiPriority w:val="1"/>
    <w:qFormat/>
    <w:rsid w:val="00EB6C79"/>
    <w:pPr>
      <w:spacing w:after="0" w:line="240" w:lineRule="auto"/>
    </w:pPr>
    <w:rPr>
      <w:rFonts w:eastAsiaTheme="minorEastAsia"/>
      <w:sz w:val="24"/>
      <w:szCs w:val="24"/>
      <w:lang w:eastAsia="ru-RU"/>
    </w:rPr>
  </w:style>
  <w:style w:type="character" w:customStyle="1" w:styleId="afa">
    <w:name w:val="Без интервала Знак"/>
    <w:aliases w:val="свой Знак,No Spacing1 Знак,Елжан Знак,Без интервала11 Знак"/>
    <w:basedOn w:val="a0"/>
    <w:link w:val="af9"/>
    <w:uiPriority w:val="1"/>
    <w:rsid w:val="00EB6C79"/>
    <w:rPr>
      <w:rFonts w:eastAsiaTheme="minorEastAsia"/>
      <w:sz w:val="24"/>
      <w:szCs w:val="24"/>
      <w:lang w:eastAsia="ru-RU"/>
    </w:rPr>
  </w:style>
  <w:style w:type="paragraph" w:customStyle="1" w:styleId="query-text-line">
    <w:name w:val="query-text-line"/>
    <w:basedOn w:val="a"/>
    <w:rsid w:val="00CD4DC6"/>
    <w:pPr>
      <w:spacing w:before="100" w:beforeAutospacing="1" w:after="100" w:afterAutospacing="1" w:line="240" w:lineRule="auto"/>
    </w:pPr>
    <w:rPr>
      <w:sz w:val="24"/>
      <w:szCs w:val="24"/>
      <w:lang w:eastAsia="ru-RU"/>
    </w:rPr>
  </w:style>
  <w:style w:type="paragraph" w:styleId="afb">
    <w:name w:val="caption"/>
    <w:basedOn w:val="a"/>
    <w:next w:val="a"/>
    <w:uiPriority w:val="35"/>
    <w:unhideWhenUsed/>
    <w:qFormat/>
    <w:rsid w:val="00967412"/>
    <w:pPr>
      <w:spacing w:before="120" w:after="60" w:line="240" w:lineRule="auto"/>
      <w:jc w:val="both"/>
    </w:pPr>
    <w:rPr>
      <w:rFonts w:eastAsiaTheme="minorHAnsi" w:cstheme="minorBidi"/>
      <w:iCs/>
      <w:color w:val="000000" w:themeColor="text1"/>
      <w:kern w:val="2"/>
      <w:sz w:val="24"/>
      <w:szCs w:val="18"/>
      <w:lang w:val="en-US"/>
      <w14:ligatures w14:val="standardContextual"/>
    </w:rPr>
  </w:style>
  <w:style w:type="paragraph" w:styleId="afc">
    <w:name w:val="footnote text"/>
    <w:basedOn w:val="a"/>
    <w:link w:val="afd"/>
    <w:uiPriority w:val="99"/>
    <w:semiHidden/>
    <w:unhideWhenUsed/>
    <w:rsid w:val="0026360E"/>
    <w:pPr>
      <w:spacing w:after="0" w:line="240" w:lineRule="auto"/>
    </w:pPr>
    <w:rPr>
      <w:sz w:val="20"/>
      <w:szCs w:val="20"/>
    </w:rPr>
  </w:style>
  <w:style w:type="character" w:customStyle="1" w:styleId="afd">
    <w:name w:val="Текст сноски Знак"/>
    <w:basedOn w:val="a0"/>
    <w:link w:val="afc"/>
    <w:uiPriority w:val="99"/>
    <w:semiHidden/>
    <w:rsid w:val="0026360E"/>
    <w:rPr>
      <w:rFonts w:ascii="Times New Roman" w:eastAsia="Times New Roman" w:hAnsi="Times New Roman" w:cs="Times New Roman"/>
      <w:sz w:val="20"/>
      <w:szCs w:val="20"/>
    </w:rPr>
  </w:style>
  <w:style w:type="character" w:styleId="afe">
    <w:name w:val="footnote reference"/>
    <w:basedOn w:val="a0"/>
    <w:semiHidden/>
    <w:unhideWhenUsed/>
    <w:qFormat/>
    <w:rsid w:val="0026360E"/>
    <w:rPr>
      <w:vertAlign w:val="superscript"/>
    </w:rPr>
  </w:style>
  <w:style w:type="paragraph" w:customStyle="1" w:styleId="Default">
    <w:name w:val="Default"/>
    <w:rsid w:val="00625AF1"/>
    <w:pPr>
      <w:autoSpaceDE w:val="0"/>
      <w:autoSpaceDN w:val="0"/>
      <w:adjustRightInd w:val="0"/>
      <w:spacing w:after="0" w:line="240" w:lineRule="auto"/>
    </w:pPr>
    <w:rPr>
      <w:rFonts w:ascii="Arial" w:hAnsi="Arial" w:cs="Arial"/>
      <w:color w:val="000000"/>
      <w:sz w:val="24"/>
      <w:szCs w:val="24"/>
    </w:rPr>
  </w:style>
  <w:style w:type="paragraph" w:customStyle="1" w:styleId="EYBodytextwithparaspace">
    <w:name w:val="EY Body text (with para space)"/>
    <w:basedOn w:val="a"/>
    <w:link w:val="EYBodytextwithparaspaceChar"/>
    <w:qFormat/>
    <w:rsid w:val="00A91F93"/>
    <w:pPr>
      <w:numPr>
        <w:ilvl w:val="4"/>
        <w:numId w:val="5"/>
      </w:numPr>
      <w:spacing w:after="240" w:line="240" w:lineRule="auto"/>
    </w:pPr>
    <w:rPr>
      <w:rFonts w:asciiTheme="minorHAnsi" w:hAnsiTheme="minorHAnsi"/>
      <w:kern w:val="12"/>
      <w:sz w:val="20"/>
      <w:szCs w:val="24"/>
      <w:lang w:val="en-US"/>
    </w:rPr>
  </w:style>
  <w:style w:type="character" w:customStyle="1" w:styleId="EYBodytextwithparaspaceChar">
    <w:name w:val="EY Body text (with para space) Char"/>
    <w:basedOn w:val="a0"/>
    <w:link w:val="EYBodytextwithparaspace"/>
    <w:rsid w:val="00A91F93"/>
    <w:rPr>
      <w:rFonts w:eastAsia="Times New Roman" w:cs="Times New Roman"/>
      <w:kern w:val="12"/>
      <w:sz w:val="20"/>
      <w:szCs w:val="24"/>
      <w:lang w:val="en-US"/>
    </w:rPr>
  </w:style>
  <w:style w:type="paragraph" w:styleId="aff">
    <w:name w:val="Intense Quote"/>
    <w:basedOn w:val="a"/>
    <w:next w:val="a"/>
    <w:link w:val="aff0"/>
    <w:uiPriority w:val="30"/>
    <w:qFormat/>
    <w:rsid w:val="006669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0">
    <w:name w:val="Выделенная цитата Знак"/>
    <w:basedOn w:val="a0"/>
    <w:link w:val="aff"/>
    <w:uiPriority w:val="30"/>
    <w:rsid w:val="0066695A"/>
    <w:rPr>
      <w:rFonts w:ascii="Times New Roman" w:eastAsia="Times New Roman" w:hAnsi="Times New Roman" w:cs="Times New Roman"/>
      <w:i/>
      <w:iCs/>
      <w:color w:val="5B9BD5" w:themeColor="accent1"/>
    </w:rPr>
  </w:style>
  <w:style w:type="character" w:customStyle="1" w:styleId="1Char">
    <w:name w:val="!!!Список 1 ур. Char"/>
    <w:basedOn w:val="a0"/>
    <w:link w:val="1"/>
    <w:locked/>
    <w:rsid w:val="00AF6012"/>
    <w:rPr>
      <w:rFonts w:ascii="Times New Roman" w:hAnsi="Times New Roman" w:cs="Times New Roman"/>
      <w:noProof/>
      <w:color w:val="000000" w:themeColor="text1"/>
      <w:sz w:val="24"/>
      <w:szCs w:val="18"/>
    </w:rPr>
  </w:style>
  <w:style w:type="paragraph" w:customStyle="1" w:styleId="1">
    <w:name w:val="!!!Список 1 ур."/>
    <w:link w:val="1Char"/>
    <w:qFormat/>
    <w:rsid w:val="00AF6012"/>
    <w:pPr>
      <w:numPr>
        <w:numId w:val="7"/>
      </w:numPr>
      <w:spacing w:before="120" w:after="120" w:line="240" w:lineRule="auto"/>
      <w:ind w:left="0" w:firstLine="709"/>
      <w:contextualSpacing/>
      <w:jc w:val="both"/>
    </w:pPr>
    <w:rPr>
      <w:rFonts w:ascii="Times New Roman" w:hAnsi="Times New Roman" w:cs="Times New Roman"/>
      <w:noProof/>
      <w:color w:val="000000" w:themeColor="text1"/>
      <w:sz w:val="24"/>
      <w:szCs w:val="18"/>
    </w:rPr>
  </w:style>
  <w:style w:type="character" w:customStyle="1" w:styleId="normaltextrun">
    <w:name w:val="normaltextrun"/>
    <w:basedOn w:val="a0"/>
    <w:rsid w:val="00420B6D"/>
  </w:style>
  <w:style w:type="character" w:customStyle="1" w:styleId="eop">
    <w:name w:val="eop"/>
    <w:basedOn w:val="a0"/>
    <w:rsid w:val="00420B6D"/>
  </w:style>
  <w:style w:type="character" w:customStyle="1" w:styleId="14">
    <w:name w:val="Неразрешенное упоминание1"/>
    <w:basedOn w:val="a0"/>
    <w:uiPriority w:val="99"/>
    <w:semiHidden/>
    <w:unhideWhenUsed/>
    <w:rsid w:val="0084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697">
      <w:bodyDiv w:val="1"/>
      <w:marLeft w:val="0"/>
      <w:marRight w:val="0"/>
      <w:marTop w:val="0"/>
      <w:marBottom w:val="0"/>
      <w:divBdr>
        <w:top w:val="none" w:sz="0" w:space="0" w:color="auto"/>
        <w:left w:val="none" w:sz="0" w:space="0" w:color="auto"/>
        <w:bottom w:val="none" w:sz="0" w:space="0" w:color="auto"/>
        <w:right w:val="none" w:sz="0" w:space="0" w:color="auto"/>
      </w:divBdr>
    </w:div>
    <w:div w:id="31200762">
      <w:bodyDiv w:val="1"/>
      <w:marLeft w:val="0"/>
      <w:marRight w:val="0"/>
      <w:marTop w:val="0"/>
      <w:marBottom w:val="0"/>
      <w:divBdr>
        <w:top w:val="none" w:sz="0" w:space="0" w:color="auto"/>
        <w:left w:val="none" w:sz="0" w:space="0" w:color="auto"/>
        <w:bottom w:val="none" w:sz="0" w:space="0" w:color="auto"/>
        <w:right w:val="none" w:sz="0" w:space="0" w:color="auto"/>
      </w:divBdr>
    </w:div>
    <w:div w:id="52975096">
      <w:bodyDiv w:val="1"/>
      <w:marLeft w:val="0"/>
      <w:marRight w:val="0"/>
      <w:marTop w:val="0"/>
      <w:marBottom w:val="0"/>
      <w:divBdr>
        <w:top w:val="none" w:sz="0" w:space="0" w:color="auto"/>
        <w:left w:val="none" w:sz="0" w:space="0" w:color="auto"/>
        <w:bottom w:val="none" w:sz="0" w:space="0" w:color="auto"/>
        <w:right w:val="none" w:sz="0" w:space="0" w:color="auto"/>
      </w:divBdr>
    </w:div>
    <w:div w:id="54934843">
      <w:bodyDiv w:val="1"/>
      <w:marLeft w:val="0"/>
      <w:marRight w:val="0"/>
      <w:marTop w:val="0"/>
      <w:marBottom w:val="0"/>
      <w:divBdr>
        <w:top w:val="none" w:sz="0" w:space="0" w:color="auto"/>
        <w:left w:val="none" w:sz="0" w:space="0" w:color="auto"/>
        <w:bottom w:val="none" w:sz="0" w:space="0" w:color="auto"/>
        <w:right w:val="none" w:sz="0" w:space="0" w:color="auto"/>
      </w:divBdr>
      <w:divsChild>
        <w:div w:id="1680690355">
          <w:marLeft w:val="0"/>
          <w:marRight w:val="0"/>
          <w:marTop w:val="0"/>
          <w:marBottom w:val="0"/>
          <w:divBdr>
            <w:top w:val="none" w:sz="0" w:space="0" w:color="auto"/>
            <w:left w:val="none" w:sz="0" w:space="0" w:color="auto"/>
            <w:bottom w:val="none" w:sz="0" w:space="0" w:color="auto"/>
            <w:right w:val="none" w:sz="0" w:space="0" w:color="auto"/>
          </w:divBdr>
          <w:divsChild>
            <w:div w:id="476185032">
              <w:marLeft w:val="0"/>
              <w:marRight w:val="0"/>
              <w:marTop w:val="0"/>
              <w:marBottom w:val="0"/>
              <w:divBdr>
                <w:top w:val="none" w:sz="0" w:space="0" w:color="auto"/>
                <w:left w:val="none" w:sz="0" w:space="0" w:color="auto"/>
                <w:bottom w:val="none" w:sz="0" w:space="0" w:color="auto"/>
                <w:right w:val="none" w:sz="0" w:space="0" w:color="auto"/>
              </w:divBdr>
              <w:divsChild>
                <w:div w:id="857936958">
                  <w:marLeft w:val="0"/>
                  <w:marRight w:val="0"/>
                  <w:marTop w:val="0"/>
                  <w:marBottom w:val="0"/>
                  <w:divBdr>
                    <w:top w:val="none" w:sz="0" w:space="0" w:color="auto"/>
                    <w:left w:val="none" w:sz="0" w:space="0" w:color="auto"/>
                    <w:bottom w:val="none" w:sz="0" w:space="0" w:color="auto"/>
                    <w:right w:val="none" w:sz="0" w:space="0" w:color="auto"/>
                  </w:divBdr>
                  <w:divsChild>
                    <w:div w:id="834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621">
      <w:bodyDiv w:val="1"/>
      <w:marLeft w:val="0"/>
      <w:marRight w:val="0"/>
      <w:marTop w:val="0"/>
      <w:marBottom w:val="0"/>
      <w:divBdr>
        <w:top w:val="none" w:sz="0" w:space="0" w:color="auto"/>
        <w:left w:val="none" w:sz="0" w:space="0" w:color="auto"/>
        <w:bottom w:val="none" w:sz="0" w:space="0" w:color="auto"/>
        <w:right w:val="none" w:sz="0" w:space="0" w:color="auto"/>
      </w:divBdr>
    </w:div>
    <w:div w:id="77211193">
      <w:bodyDiv w:val="1"/>
      <w:marLeft w:val="0"/>
      <w:marRight w:val="0"/>
      <w:marTop w:val="0"/>
      <w:marBottom w:val="0"/>
      <w:divBdr>
        <w:top w:val="none" w:sz="0" w:space="0" w:color="auto"/>
        <w:left w:val="none" w:sz="0" w:space="0" w:color="auto"/>
        <w:bottom w:val="none" w:sz="0" w:space="0" w:color="auto"/>
        <w:right w:val="none" w:sz="0" w:space="0" w:color="auto"/>
      </w:divBdr>
    </w:div>
    <w:div w:id="84303826">
      <w:bodyDiv w:val="1"/>
      <w:marLeft w:val="0"/>
      <w:marRight w:val="0"/>
      <w:marTop w:val="0"/>
      <w:marBottom w:val="0"/>
      <w:divBdr>
        <w:top w:val="none" w:sz="0" w:space="0" w:color="auto"/>
        <w:left w:val="none" w:sz="0" w:space="0" w:color="auto"/>
        <w:bottom w:val="none" w:sz="0" w:space="0" w:color="auto"/>
        <w:right w:val="none" w:sz="0" w:space="0" w:color="auto"/>
      </w:divBdr>
      <w:divsChild>
        <w:div w:id="439181944">
          <w:marLeft w:val="446"/>
          <w:marRight w:val="0"/>
          <w:marTop w:val="0"/>
          <w:marBottom w:val="0"/>
          <w:divBdr>
            <w:top w:val="none" w:sz="0" w:space="0" w:color="auto"/>
            <w:left w:val="none" w:sz="0" w:space="0" w:color="auto"/>
            <w:bottom w:val="none" w:sz="0" w:space="0" w:color="auto"/>
            <w:right w:val="none" w:sz="0" w:space="0" w:color="auto"/>
          </w:divBdr>
        </w:div>
        <w:div w:id="663823326">
          <w:marLeft w:val="446"/>
          <w:marRight w:val="0"/>
          <w:marTop w:val="0"/>
          <w:marBottom w:val="0"/>
          <w:divBdr>
            <w:top w:val="none" w:sz="0" w:space="0" w:color="auto"/>
            <w:left w:val="none" w:sz="0" w:space="0" w:color="auto"/>
            <w:bottom w:val="none" w:sz="0" w:space="0" w:color="auto"/>
            <w:right w:val="none" w:sz="0" w:space="0" w:color="auto"/>
          </w:divBdr>
        </w:div>
        <w:div w:id="1553076631">
          <w:marLeft w:val="446"/>
          <w:marRight w:val="0"/>
          <w:marTop w:val="0"/>
          <w:marBottom w:val="0"/>
          <w:divBdr>
            <w:top w:val="none" w:sz="0" w:space="0" w:color="auto"/>
            <w:left w:val="none" w:sz="0" w:space="0" w:color="auto"/>
            <w:bottom w:val="none" w:sz="0" w:space="0" w:color="auto"/>
            <w:right w:val="none" w:sz="0" w:space="0" w:color="auto"/>
          </w:divBdr>
        </w:div>
        <w:div w:id="1574509298">
          <w:marLeft w:val="446"/>
          <w:marRight w:val="0"/>
          <w:marTop w:val="0"/>
          <w:marBottom w:val="0"/>
          <w:divBdr>
            <w:top w:val="none" w:sz="0" w:space="0" w:color="auto"/>
            <w:left w:val="none" w:sz="0" w:space="0" w:color="auto"/>
            <w:bottom w:val="none" w:sz="0" w:space="0" w:color="auto"/>
            <w:right w:val="none" w:sz="0" w:space="0" w:color="auto"/>
          </w:divBdr>
        </w:div>
        <w:div w:id="1743599438">
          <w:marLeft w:val="446"/>
          <w:marRight w:val="0"/>
          <w:marTop w:val="0"/>
          <w:marBottom w:val="0"/>
          <w:divBdr>
            <w:top w:val="none" w:sz="0" w:space="0" w:color="auto"/>
            <w:left w:val="none" w:sz="0" w:space="0" w:color="auto"/>
            <w:bottom w:val="none" w:sz="0" w:space="0" w:color="auto"/>
            <w:right w:val="none" w:sz="0" w:space="0" w:color="auto"/>
          </w:divBdr>
        </w:div>
        <w:div w:id="2119176198">
          <w:marLeft w:val="446"/>
          <w:marRight w:val="0"/>
          <w:marTop w:val="0"/>
          <w:marBottom w:val="0"/>
          <w:divBdr>
            <w:top w:val="none" w:sz="0" w:space="0" w:color="auto"/>
            <w:left w:val="none" w:sz="0" w:space="0" w:color="auto"/>
            <w:bottom w:val="none" w:sz="0" w:space="0" w:color="auto"/>
            <w:right w:val="none" w:sz="0" w:space="0" w:color="auto"/>
          </w:divBdr>
        </w:div>
      </w:divsChild>
    </w:div>
    <w:div w:id="103771769">
      <w:bodyDiv w:val="1"/>
      <w:marLeft w:val="0"/>
      <w:marRight w:val="0"/>
      <w:marTop w:val="0"/>
      <w:marBottom w:val="0"/>
      <w:divBdr>
        <w:top w:val="none" w:sz="0" w:space="0" w:color="auto"/>
        <w:left w:val="none" w:sz="0" w:space="0" w:color="auto"/>
        <w:bottom w:val="none" w:sz="0" w:space="0" w:color="auto"/>
        <w:right w:val="none" w:sz="0" w:space="0" w:color="auto"/>
      </w:divBdr>
    </w:div>
    <w:div w:id="107819146">
      <w:bodyDiv w:val="1"/>
      <w:marLeft w:val="0"/>
      <w:marRight w:val="0"/>
      <w:marTop w:val="0"/>
      <w:marBottom w:val="0"/>
      <w:divBdr>
        <w:top w:val="none" w:sz="0" w:space="0" w:color="auto"/>
        <w:left w:val="none" w:sz="0" w:space="0" w:color="auto"/>
        <w:bottom w:val="none" w:sz="0" w:space="0" w:color="auto"/>
        <w:right w:val="none" w:sz="0" w:space="0" w:color="auto"/>
      </w:divBdr>
    </w:div>
    <w:div w:id="118648993">
      <w:bodyDiv w:val="1"/>
      <w:marLeft w:val="0"/>
      <w:marRight w:val="0"/>
      <w:marTop w:val="0"/>
      <w:marBottom w:val="0"/>
      <w:divBdr>
        <w:top w:val="none" w:sz="0" w:space="0" w:color="auto"/>
        <w:left w:val="none" w:sz="0" w:space="0" w:color="auto"/>
        <w:bottom w:val="none" w:sz="0" w:space="0" w:color="auto"/>
        <w:right w:val="none" w:sz="0" w:space="0" w:color="auto"/>
      </w:divBdr>
    </w:div>
    <w:div w:id="128017899">
      <w:bodyDiv w:val="1"/>
      <w:marLeft w:val="0"/>
      <w:marRight w:val="0"/>
      <w:marTop w:val="0"/>
      <w:marBottom w:val="0"/>
      <w:divBdr>
        <w:top w:val="none" w:sz="0" w:space="0" w:color="auto"/>
        <w:left w:val="none" w:sz="0" w:space="0" w:color="auto"/>
        <w:bottom w:val="none" w:sz="0" w:space="0" w:color="auto"/>
        <w:right w:val="none" w:sz="0" w:space="0" w:color="auto"/>
      </w:divBdr>
    </w:div>
    <w:div w:id="149834219">
      <w:bodyDiv w:val="1"/>
      <w:marLeft w:val="0"/>
      <w:marRight w:val="0"/>
      <w:marTop w:val="0"/>
      <w:marBottom w:val="0"/>
      <w:divBdr>
        <w:top w:val="none" w:sz="0" w:space="0" w:color="auto"/>
        <w:left w:val="none" w:sz="0" w:space="0" w:color="auto"/>
        <w:bottom w:val="none" w:sz="0" w:space="0" w:color="auto"/>
        <w:right w:val="none" w:sz="0" w:space="0" w:color="auto"/>
      </w:divBdr>
    </w:div>
    <w:div w:id="153961339">
      <w:bodyDiv w:val="1"/>
      <w:marLeft w:val="0"/>
      <w:marRight w:val="0"/>
      <w:marTop w:val="0"/>
      <w:marBottom w:val="0"/>
      <w:divBdr>
        <w:top w:val="none" w:sz="0" w:space="0" w:color="auto"/>
        <w:left w:val="none" w:sz="0" w:space="0" w:color="auto"/>
        <w:bottom w:val="none" w:sz="0" w:space="0" w:color="auto"/>
        <w:right w:val="none" w:sz="0" w:space="0" w:color="auto"/>
      </w:divBdr>
    </w:div>
    <w:div w:id="169180972">
      <w:bodyDiv w:val="1"/>
      <w:marLeft w:val="0"/>
      <w:marRight w:val="0"/>
      <w:marTop w:val="0"/>
      <w:marBottom w:val="0"/>
      <w:divBdr>
        <w:top w:val="none" w:sz="0" w:space="0" w:color="auto"/>
        <w:left w:val="none" w:sz="0" w:space="0" w:color="auto"/>
        <w:bottom w:val="none" w:sz="0" w:space="0" w:color="auto"/>
        <w:right w:val="none" w:sz="0" w:space="0" w:color="auto"/>
      </w:divBdr>
      <w:divsChild>
        <w:div w:id="565728129">
          <w:marLeft w:val="274"/>
          <w:marRight w:val="0"/>
          <w:marTop w:val="0"/>
          <w:marBottom w:val="0"/>
          <w:divBdr>
            <w:top w:val="none" w:sz="0" w:space="0" w:color="auto"/>
            <w:left w:val="none" w:sz="0" w:space="0" w:color="auto"/>
            <w:bottom w:val="none" w:sz="0" w:space="0" w:color="auto"/>
            <w:right w:val="none" w:sz="0" w:space="0" w:color="auto"/>
          </w:divBdr>
        </w:div>
      </w:divsChild>
    </w:div>
    <w:div w:id="172914887">
      <w:bodyDiv w:val="1"/>
      <w:marLeft w:val="0"/>
      <w:marRight w:val="0"/>
      <w:marTop w:val="0"/>
      <w:marBottom w:val="0"/>
      <w:divBdr>
        <w:top w:val="none" w:sz="0" w:space="0" w:color="auto"/>
        <w:left w:val="none" w:sz="0" w:space="0" w:color="auto"/>
        <w:bottom w:val="none" w:sz="0" w:space="0" w:color="auto"/>
        <w:right w:val="none" w:sz="0" w:space="0" w:color="auto"/>
      </w:divBdr>
      <w:divsChild>
        <w:div w:id="1812209429">
          <w:marLeft w:val="288"/>
          <w:marRight w:val="0"/>
          <w:marTop w:val="0"/>
          <w:marBottom w:val="0"/>
          <w:divBdr>
            <w:top w:val="none" w:sz="0" w:space="0" w:color="auto"/>
            <w:left w:val="none" w:sz="0" w:space="0" w:color="auto"/>
            <w:bottom w:val="none" w:sz="0" w:space="0" w:color="auto"/>
            <w:right w:val="none" w:sz="0" w:space="0" w:color="auto"/>
          </w:divBdr>
        </w:div>
      </w:divsChild>
    </w:div>
    <w:div w:id="183060154">
      <w:bodyDiv w:val="1"/>
      <w:marLeft w:val="0"/>
      <w:marRight w:val="0"/>
      <w:marTop w:val="0"/>
      <w:marBottom w:val="0"/>
      <w:divBdr>
        <w:top w:val="none" w:sz="0" w:space="0" w:color="auto"/>
        <w:left w:val="none" w:sz="0" w:space="0" w:color="auto"/>
        <w:bottom w:val="none" w:sz="0" w:space="0" w:color="auto"/>
        <w:right w:val="none" w:sz="0" w:space="0" w:color="auto"/>
      </w:divBdr>
    </w:div>
    <w:div w:id="184904968">
      <w:bodyDiv w:val="1"/>
      <w:marLeft w:val="0"/>
      <w:marRight w:val="0"/>
      <w:marTop w:val="0"/>
      <w:marBottom w:val="0"/>
      <w:divBdr>
        <w:top w:val="none" w:sz="0" w:space="0" w:color="auto"/>
        <w:left w:val="none" w:sz="0" w:space="0" w:color="auto"/>
        <w:bottom w:val="none" w:sz="0" w:space="0" w:color="auto"/>
        <w:right w:val="none" w:sz="0" w:space="0" w:color="auto"/>
      </w:divBdr>
    </w:div>
    <w:div w:id="192349151">
      <w:bodyDiv w:val="1"/>
      <w:marLeft w:val="0"/>
      <w:marRight w:val="0"/>
      <w:marTop w:val="0"/>
      <w:marBottom w:val="0"/>
      <w:divBdr>
        <w:top w:val="none" w:sz="0" w:space="0" w:color="auto"/>
        <w:left w:val="none" w:sz="0" w:space="0" w:color="auto"/>
        <w:bottom w:val="none" w:sz="0" w:space="0" w:color="auto"/>
        <w:right w:val="none" w:sz="0" w:space="0" w:color="auto"/>
      </w:divBdr>
      <w:divsChild>
        <w:div w:id="1171798924">
          <w:marLeft w:val="274"/>
          <w:marRight w:val="0"/>
          <w:marTop w:val="0"/>
          <w:marBottom w:val="0"/>
          <w:divBdr>
            <w:top w:val="none" w:sz="0" w:space="0" w:color="auto"/>
            <w:left w:val="none" w:sz="0" w:space="0" w:color="auto"/>
            <w:bottom w:val="none" w:sz="0" w:space="0" w:color="auto"/>
            <w:right w:val="none" w:sz="0" w:space="0" w:color="auto"/>
          </w:divBdr>
        </w:div>
        <w:div w:id="1977753192">
          <w:marLeft w:val="274"/>
          <w:marRight w:val="0"/>
          <w:marTop w:val="0"/>
          <w:marBottom w:val="0"/>
          <w:divBdr>
            <w:top w:val="none" w:sz="0" w:space="0" w:color="auto"/>
            <w:left w:val="none" w:sz="0" w:space="0" w:color="auto"/>
            <w:bottom w:val="none" w:sz="0" w:space="0" w:color="auto"/>
            <w:right w:val="none" w:sz="0" w:space="0" w:color="auto"/>
          </w:divBdr>
        </w:div>
      </w:divsChild>
    </w:div>
    <w:div w:id="197396513">
      <w:bodyDiv w:val="1"/>
      <w:marLeft w:val="0"/>
      <w:marRight w:val="0"/>
      <w:marTop w:val="0"/>
      <w:marBottom w:val="0"/>
      <w:divBdr>
        <w:top w:val="none" w:sz="0" w:space="0" w:color="auto"/>
        <w:left w:val="none" w:sz="0" w:space="0" w:color="auto"/>
        <w:bottom w:val="none" w:sz="0" w:space="0" w:color="auto"/>
        <w:right w:val="none" w:sz="0" w:space="0" w:color="auto"/>
      </w:divBdr>
    </w:div>
    <w:div w:id="220025178">
      <w:bodyDiv w:val="1"/>
      <w:marLeft w:val="0"/>
      <w:marRight w:val="0"/>
      <w:marTop w:val="0"/>
      <w:marBottom w:val="0"/>
      <w:divBdr>
        <w:top w:val="none" w:sz="0" w:space="0" w:color="auto"/>
        <w:left w:val="none" w:sz="0" w:space="0" w:color="auto"/>
        <w:bottom w:val="none" w:sz="0" w:space="0" w:color="auto"/>
        <w:right w:val="none" w:sz="0" w:space="0" w:color="auto"/>
      </w:divBdr>
    </w:div>
    <w:div w:id="228419370">
      <w:bodyDiv w:val="1"/>
      <w:marLeft w:val="0"/>
      <w:marRight w:val="0"/>
      <w:marTop w:val="0"/>
      <w:marBottom w:val="0"/>
      <w:divBdr>
        <w:top w:val="none" w:sz="0" w:space="0" w:color="auto"/>
        <w:left w:val="none" w:sz="0" w:space="0" w:color="auto"/>
        <w:bottom w:val="none" w:sz="0" w:space="0" w:color="auto"/>
        <w:right w:val="none" w:sz="0" w:space="0" w:color="auto"/>
      </w:divBdr>
      <w:divsChild>
        <w:div w:id="457377065">
          <w:marLeft w:val="0"/>
          <w:marRight w:val="0"/>
          <w:marTop w:val="0"/>
          <w:marBottom w:val="0"/>
          <w:divBdr>
            <w:top w:val="none" w:sz="0" w:space="0" w:color="auto"/>
            <w:left w:val="none" w:sz="0" w:space="0" w:color="auto"/>
            <w:bottom w:val="none" w:sz="0" w:space="0" w:color="auto"/>
            <w:right w:val="none" w:sz="0" w:space="0" w:color="auto"/>
          </w:divBdr>
          <w:divsChild>
            <w:div w:id="1068383881">
              <w:marLeft w:val="0"/>
              <w:marRight w:val="0"/>
              <w:marTop w:val="0"/>
              <w:marBottom w:val="0"/>
              <w:divBdr>
                <w:top w:val="none" w:sz="0" w:space="0" w:color="auto"/>
                <w:left w:val="none" w:sz="0" w:space="0" w:color="auto"/>
                <w:bottom w:val="none" w:sz="0" w:space="0" w:color="auto"/>
                <w:right w:val="none" w:sz="0" w:space="0" w:color="auto"/>
              </w:divBdr>
              <w:divsChild>
                <w:div w:id="697395289">
                  <w:marLeft w:val="0"/>
                  <w:marRight w:val="0"/>
                  <w:marTop w:val="0"/>
                  <w:marBottom w:val="0"/>
                  <w:divBdr>
                    <w:top w:val="none" w:sz="0" w:space="0" w:color="auto"/>
                    <w:left w:val="none" w:sz="0" w:space="0" w:color="auto"/>
                    <w:bottom w:val="none" w:sz="0" w:space="0" w:color="auto"/>
                    <w:right w:val="none" w:sz="0" w:space="0" w:color="auto"/>
                  </w:divBdr>
                  <w:divsChild>
                    <w:div w:id="577524516">
                      <w:marLeft w:val="0"/>
                      <w:marRight w:val="0"/>
                      <w:marTop w:val="0"/>
                      <w:marBottom w:val="0"/>
                      <w:divBdr>
                        <w:top w:val="none" w:sz="0" w:space="0" w:color="auto"/>
                        <w:left w:val="none" w:sz="0" w:space="0" w:color="auto"/>
                        <w:bottom w:val="none" w:sz="0" w:space="0" w:color="auto"/>
                        <w:right w:val="none" w:sz="0" w:space="0" w:color="auto"/>
                      </w:divBdr>
                      <w:divsChild>
                        <w:div w:id="972560023">
                          <w:marLeft w:val="0"/>
                          <w:marRight w:val="0"/>
                          <w:marTop w:val="0"/>
                          <w:marBottom w:val="0"/>
                          <w:divBdr>
                            <w:top w:val="none" w:sz="0" w:space="0" w:color="auto"/>
                            <w:left w:val="none" w:sz="0" w:space="0" w:color="auto"/>
                            <w:bottom w:val="none" w:sz="0" w:space="0" w:color="auto"/>
                            <w:right w:val="none" w:sz="0" w:space="0" w:color="auto"/>
                          </w:divBdr>
                          <w:divsChild>
                            <w:div w:id="1546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83970">
      <w:bodyDiv w:val="1"/>
      <w:marLeft w:val="0"/>
      <w:marRight w:val="0"/>
      <w:marTop w:val="0"/>
      <w:marBottom w:val="0"/>
      <w:divBdr>
        <w:top w:val="none" w:sz="0" w:space="0" w:color="auto"/>
        <w:left w:val="none" w:sz="0" w:space="0" w:color="auto"/>
        <w:bottom w:val="none" w:sz="0" w:space="0" w:color="auto"/>
        <w:right w:val="none" w:sz="0" w:space="0" w:color="auto"/>
      </w:divBdr>
    </w:div>
    <w:div w:id="258372689">
      <w:bodyDiv w:val="1"/>
      <w:marLeft w:val="0"/>
      <w:marRight w:val="0"/>
      <w:marTop w:val="0"/>
      <w:marBottom w:val="0"/>
      <w:divBdr>
        <w:top w:val="none" w:sz="0" w:space="0" w:color="auto"/>
        <w:left w:val="none" w:sz="0" w:space="0" w:color="auto"/>
        <w:bottom w:val="none" w:sz="0" w:space="0" w:color="auto"/>
        <w:right w:val="none" w:sz="0" w:space="0" w:color="auto"/>
      </w:divBdr>
    </w:div>
    <w:div w:id="261449822">
      <w:bodyDiv w:val="1"/>
      <w:marLeft w:val="0"/>
      <w:marRight w:val="0"/>
      <w:marTop w:val="0"/>
      <w:marBottom w:val="0"/>
      <w:divBdr>
        <w:top w:val="none" w:sz="0" w:space="0" w:color="auto"/>
        <w:left w:val="none" w:sz="0" w:space="0" w:color="auto"/>
        <w:bottom w:val="none" w:sz="0" w:space="0" w:color="auto"/>
        <w:right w:val="none" w:sz="0" w:space="0" w:color="auto"/>
      </w:divBdr>
      <w:divsChild>
        <w:div w:id="1378890446">
          <w:marLeft w:val="274"/>
          <w:marRight w:val="0"/>
          <w:marTop w:val="0"/>
          <w:marBottom w:val="0"/>
          <w:divBdr>
            <w:top w:val="none" w:sz="0" w:space="0" w:color="auto"/>
            <w:left w:val="none" w:sz="0" w:space="0" w:color="auto"/>
            <w:bottom w:val="none" w:sz="0" w:space="0" w:color="auto"/>
            <w:right w:val="none" w:sz="0" w:space="0" w:color="auto"/>
          </w:divBdr>
        </w:div>
        <w:div w:id="1731998025">
          <w:marLeft w:val="274"/>
          <w:marRight w:val="0"/>
          <w:marTop w:val="0"/>
          <w:marBottom w:val="0"/>
          <w:divBdr>
            <w:top w:val="none" w:sz="0" w:space="0" w:color="auto"/>
            <w:left w:val="none" w:sz="0" w:space="0" w:color="auto"/>
            <w:bottom w:val="none" w:sz="0" w:space="0" w:color="auto"/>
            <w:right w:val="none" w:sz="0" w:space="0" w:color="auto"/>
          </w:divBdr>
        </w:div>
        <w:div w:id="1747678525">
          <w:marLeft w:val="274"/>
          <w:marRight w:val="0"/>
          <w:marTop w:val="0"/>
          <w:marBottom w:val="0"/>
          <w:divBdr>
            <w:top w:val="none" w:sz="0" w:space="0" w:color="auto"/>
            <w:left w:val="none" w:sz="0" w:space="0" w:color="auto"/>
            <w:bottom w:val="none" w:sz="0" w:space="0" w:color="auto"/>
            <w:right w:val="none" w:sz="0" w:space="0" w:color="auto"/>
          </w:divBdr>
        </w:div>
      </w:divsChild>
    </w:div>
    <w:div w:id="265774084">
      <w:bodyDiv w:val="1"/>
      <w:marLeft w:val="0"/>
      <w:marRight w:val="0"/>
      <w:marTop w:val="0"/>
      <w:marBottom w:val="0"/>
      <w:divBdr>
        <w:top w:val="none" w:sz="0" w:space="0" w:color="auto"/>
        <w:left w:val="none" w:sz="0" w:space="0" w:color="auto"/>
        <w:bottom w:val="none" w:sz="0" w:space="0" w:color="auto"/>
        <w:right w:val="none" w:sz="0" w:space="0" w:color="auto"/>
      </w:divBdr>
      <w:divsChild>
        <w:div w:id="126821399">
          <w:marLeft w:val="274"/>
          <w:marRight w:val="0"/>
          <w:marTop w:val="0"/>
          <w:marBottom w:val="0"/>
          <w:divBdr>
            <w:top w:val="none" w:sz="0" w:space="0" w:color="auto"/>
            <w:left w:val="none" w:sz="0" w:space="0" w:color="auto"/>
            <w:bottom w:val="none" w:sz="0" w:space="0" w:color="auto"/>
            <w:right w:val="none" w:sz="0" w:space="0" w:color="auto"/>
          </w:divBdr>
        </w:div>
        <w:div w:id="319500149">
          <w:marLeft w:val="274"/>
          <w:marRight w:val="0"/>
          <w:marTop w:val="0"/>
          <w:marBottom w:val="0"/>
          <w:divBdr>
            <w:top w:val="none" w:sz="0" w:space="0" w:color="auto"/>
            <w:left w:val="none" w:sz="0" w:space="0" w:color="auto"/>
            <w:bottom w:val="none" w:sz="0" w:space="0" w:color="auto"/>
            <w:right w:val="none" w:sz="0" w:space="0" w:color="auto"/>
          </w:divBdr>
        </w:div>
      </w:divsChild>
    </w:div>
    <w:div w:id="322586042">
      <w:bodyDiv w:val="1"/>
      <w:marLeft w:val="0"/>
      <w:marRight w:val="0"/>
      <w:marTop w:val="0"/>
      <w:marBottom w:val="0"/>
      <w:divBdr>
        <w:top w:val="none" w:sz="0" w:space="0" w:color="auto"/>
        <w:left w:val="none" w:sz="0" w:space="0" w:color="auto"/>
        <w:bottom w:val="none" w:sz="0" w:space="0" w:color="auto"/>
        <w:right w:val="none" w:sz="0" w:space="0" w:color="auto"/>
      </w:divBdr>
    </w:div>
    <w:div w:id="327174167">
      <w:bodyDiv w:val="1"/>
      <w:marLeft w:val="0"/>
      <w:marRight w:val="0"/>
      <w:marTop w:val="0"/>
      <w:marBottom w:val="0"/>
      <w:divBdr>
        <w:top w:val="none" w:sz="0" w:space="0" w:color="auto"/>
        <w:left w:val="none" w:sz="0" w:space="0" w:color="auto"/>
        <w:bottom w:val="none" w:sz="0" w:space="0" w:color="auto"/>
        <w:right w:val="none" w:sz="0" w:space="0" w:color="auto"/>
      </w:divBdr>
    </w:div>
    <w:div w:id="357778919">
      <w:bodyDiv w:val="1"/>
      <w:marLeft w:val="0"/>
      <w:marRight w:val="0"/>
      <w:marTop w:val="0"/>
      <w:marBottom w:val="0"/>
      <w:divBdr>
        <w:top w:val="none" w:sz="0" w:space="0" w:color="auto"/>
        <w:left w:val="none" w:sz="0" w:space="0" w:color="auto"/>
        <w:bottom w:val="none" w:sz="0" w:space="0" w:color="auto"/>
        <w:right w:val="none" w:sz="0" w:space="0" w:color="auto"/>
      </w:divBdr>
    </w:div>
    <w:div w:id="374356187">
      <w:bodyDiv w:val="1"/>
      <w:marLeft w:val="0"/>
      <w:marRight w:val="0"/>
      <w:marTop w:val="0"/>
      <w:marBottom w:val="0"/>
      <w:divBdr>
        <w:top w:val="none" w:sz="0" w:space="0" w:color="auto"/>
        <w:left w:val="none" w:sz="0" w:space="0" w:color="auto"/>
        <w:bottom w:val="none" w:sz="0" w:space="0" w:color="auto"/>
        <w:right w:val="none" w:sz="0" w:space="0" w:color="auto"/>
      </w:divBdr>
    </w:div>
    <w:div w:id="387534801">
      <w:bodyDiv w:val="1"/>
      <w:marLeft w:val="0"/>
      <w:marRight w:val="0"/>
      <w:marTop w:val="0"/>
      <w:marBottom w:val="0"/>
      <w:divBdr>
        <w:top w:val="none" w:sz="0" w:space="0" w:color="auto"/>
        <w:left w:val="none" w:sz="0" w:space="0" w:color="auto"/>
        <w:bottom w:val="none" w:sz="0" w:space="0" w:color="auto"/>
        <w:right w:val="none" w:sz="0" w:space="0" w:color="auto"/>
      </w:divBdr>
      <w:divsChild>
        <w:div w:id="925771866">
          <w:marLeft w:val="274"/>
          <w:marRight w:val="0"/>
          <w:marTop w:val="0"/>
          <w:marBottom w:val="0"/>
          <w:divBdr>
            <w:top w:val="none" w:sz="0" w:space="0" w:color="auto"/>
            <w:left w:val="none" w:sz="0" w:space="0" w:color="auto"/>
            <w:bottom w:val="none" w:sz="0" w:space="0" w:color="auto"/>
            <w:right w:val="none" w:sz="0" w:space="0" w:color="auto"/>
          </w:divBdr>
        </w:div>
        <w:div w:id="1762212769">
          <w:marLeft w:val="274"/>
          <w:marRight w:val="0"/>
          <w:marTop w:val="0"/>
          <w:marBottom w:val="0"/>
          <w:divBdr>
            <w:top w:val="none" w:sz="0" w:space="0" w:color="auto"/>
            <w:left w:val="none" w:sz="0" w:space="0" w:color="auto"/>
            <w:bottom w:val="none" w:sz="0" w:space="0" w:color="auto"/>
            <w:right w:val="none" w:sz="0" w:space="0" w:color="auto"/>
          </w:divBdr>
        </w:div>
      </w:divsChild>
    </w:div>
    <w:div w:id="388068315">
      <w:bodyDiv w:val="1"/>
      <w:marLeft w:val="0"/>
      <w:marRight w:val="0"/>
      <w:marTop w:val="0"/>
      <w:marBottom w:val="0"/>
      <w:divBdr>
        <w:top w:val="none" w:sz="0" w:space="0" w:color="auto"/>
        <w:left w:val="none" w:sz="0" w:space="0" w:color="auto"/>
        <w:bottom w:val="none" w:sz="0" w:space="0" w:color="auto"/>
        <w:right w:val="none" w:sz="0" w:space="0" w:color="auto"/>
      </w:divBdr>
      <w:divsChild>
        <w:div w:id="82191697">
          <w:marLeft w:val="274"/>
          <w:marRight w:val="0"/>
          <w:marTop w:val="0"/>
          <w:marBottom w:val="0"/>
          <w:divBdr>
            <w:top w:val="none" w:sz="0" w:space="0" w:color="auto"/>
            <w:left w:val="none" w:sz="0" w:space="0" w:color="auto"/>
            <w:bottom w:val="none" w:sz="0" w:space="0" w:color="auto"/>
            <w:right w:val="none" w:sz="0" w:space="0" w:color="auto"/>
          </w:divBdr>
        </w:div>
      </w:divsChild>
    </w:div>
    <w:div w:id="394856863">
      <w:bodyDiv w:val="1"/>
      <w:marLeft w:val="0"/>
      <w:marRight w:val="0"/>
      <w:marTop w:val="0"/>
      <w:marBottom w:val="0"/>
      <w:divBdr>
        <w:top w:val="none" w:sz="0" w:space="0" w:color="auto"/>
        <w:left w:val="none" w:sz="0" w:space="0" w:color="auto"/>
        <w:bottom w:val="none" w:sz="0" w:space="0" w:color="auto"/>
        <w:right w:val="none" w:sz="0" w:space="0" w:color="auto"/>
      </w:divBdr>
    </w:div>
    <w:div w:id="398292251">
      <w:bodyDiv w:val="1"/>
      <w:marLeft w:val="0"/>
      <w:marRight w:val="0"/>
      <w:marTop w:val="0"/>
      <w:marBottom w:val="0"/>
      <w:divBdr>
        <w:top w:val="none" w:sz="0" w:space="0" w:color="auto"/>
        <w:left w:val="none" w:sz="0" w:space="0" w:color="auto"/>
        <w:bottom w:val="none" w:sz="0" w:space="0" w:color="auto"/>
        <w:right w:val="none" w:sz="0" w:space="0" w:color="auto"/>
      </w:divBdr>
    </w:div>
    <w:div w:id="409010810">
      <w:bodyDiv w:val="1"/>
      <w:marLeft w:val="0"/>
      <w:marRight w:val="0"/>
      <w:marTop w:val="0"/>
      <w:marBottom w:val="0"/>
      <w:divBdr>
        <w:top w:val="none" w:sz="0" w:space="0" w:color="auto"/>
        <w:left w:val="none" w:sz="0" w:space="0" w:color="auto"/>
        <w:bottom w:val="none" w:sz="0" w:space="0" w:color="auto"/>
        <w:right w:val="none" w:sz="0" w:space="0" w:color="auto"/>
      </w:divBdr>
    </w:div>
    <w:div w:id="419644670">
      <w:bodyDiv w:val="1"/>
      <w:marLeft w:val="0"/>
      <w:marRight w:val="0"/>
      <w:marTop w:val="0"/>
      <w:marBottom w:val="0"/>
      <w:divBdr>
        <w:top w:val="none" w:sz="0" w:space="0" w:color="auto"/>
        <w:left w:val="none" w:sz="0" w:space="0" w:color="auto"/>
        <w:bottom w:val="none" w:sz="0" w:space="0" w:color="auto"/>
        <w:right w:val="none" w:sz="0" w:space="0" w:color="auto"/>
      </w:divBdr>
    </w:div>
    <w:div w:id="425426017">
      <w:bodyDiv w:val="1"/>
      <w:marLeft w:val="0"/>
      <w:marRight w:val="0"/>
      <w:marTop w:val="0"/>
      <w:marBottom w:val="0"/>
      <w:divBdr>
        <w:top w:val="none" w:sz="0" w:space="0" w:color="auto"/>
        <w:left w:val="none" w:sz="0" w:space="0" w:color="auto"/>
        <w:bottom w:val="none" w:sz="0" w:space="0" w:color="auto"/>
        <w:right w:val="none" w:sz="0" w:space="0" w:color="auto"/>
      </w:divBdr>
    </w:div>
    <w:div w:id="463012055">
      <w:bodyDiv w:val="1"/>
      <w:marLeft w:val="0"/>
      <w:marRight w:val="0"/>
      <w:marTop w:val="0"/>
      <w:marBottom w:val="0"/>
      <w:divBdr>
        <w:top w:val="none" w:sz="0" w:space="0" w:color="auto"/>
        <w:left w:val="none" w:sz="0" w:space="0" w:color="auto"/>
        <w:bottom w:val="none" w:sz="0" w:space="0" w:color="auto"/>
        <w:right w:val="none" w:sz="0" w:space="0" w:color="auto"/>
      </w:divBdr>
    </w:div>
    <w:div w:id="482427631">
      <w:bodyDiv w:val="1"/>
      <w:marLeft w:val="0"/>
      <w:marRight w:val="0"/>
      <w:marTop w:val="0"/>
      <w:marBottom w:val="0"/>
      <w:divBdr>
        <w:top w:val="none" w:sz="0" w:space="0" w:color="auto"/>
        <w:left w:val="none" w:sz="0" w:space="0" w:color="auto"/>
        <w:bottom w:val="none" w:sz="0" w:space="0" w:color="auto"/>
        <w:right w:val="none" w:sz="0" w:space="0" w:color="auto"/>
      </w:divBdr>
    </w:div>
    <w:div w:id="485316456">
      <w:bodyDiv w:val="1"/>
      <w:marLeft w:val="0"/>
      <w:marRight w:val="0"/>
      <w:marTop w:val="0"/>
      <w:marBottom w:val="0"/>
      <w:divBdr>
        <w:top w:val="none" w:sz="0" w:space="0" w:color="auto"/>
        <w:left w:val="none" w:sz="0" w:space="0" w:color="auto"/>
        <w:bottom w:val="none" w:sz="0" w:space="0" w:color="auto"/>
        <w:right w:val="none" w:sz="0" w:space="0" w:color="auto"/>
      </w:divBdr>
      <w:divsChild>
        <w:div w:id="780415801">
          <w:marLeft w:val="274"/>
          <w:marRight w:val="0"/>
          <w:marTop w:val="0"/>
          <w:marBottom w:val="0"/>
          <w:divBdr>
            <w:top w:val="none" w:sz="0" w:space="0" w:color="auto"/>
            <w:left w:val="none" w:sz="0" w:space="0" w:color="auto"/>
            <w:bottom w:val="none" w:sz="0" w:space="0" w:color="auto"/>
            <w:right w:val="none" w:sz="0" w:space="0" w:color="auto"/>
          </w:divBdr>
        </w:div>
        <w:div w:id="1193375081">
          <w:marLeft w:val="274"/>
          <w:marRight w:val="0"/>
          <w:marTop w:val="0"/>
          <w:marBottom w:val="0"/>
          <w:divBdr>
            <w:top w:val="none" w:sz="0" w:space="0" w:color="auto"/>
            <w:left w:val="none" w:sz="0" w:space="0" w:color="auto"/>
            <w:bottom w:val="none" w:sz="0" w:space="0" w:color="auto"/>
            <w:right w:val="none" w:sz="0" w:space="0" w:color="auto"/>
          </w:divBdr>
        </w:div>
      </w:divsChild>
    </w:div>
    <w:div w:id="506754050">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
          <w:marLeft w:val="274"/>
          <w:marRight w:val="0"/>
          <w:marTop w:val="0"/>
          <w:marBottom w:val="0"/>
          <w:divBdr>
            <w:top w:val="none" w:sz="0" w:space="0" w:color="auto"/>
            <w:left w:val="none" w:sz="0" w:space="0" w:color="auto"/>
            <w:bottom w:val="none" w:sz="0" w:space="0" w:color="auto"/>
            <w:right w:val="none" w:sz="0" w:space="0" w:color="auto"/>
          </w:divBdr>
        </w:div>
        <w:div w:id="601453656">
          <w:marLeft w:val="274"/>
          <w:marRight w:val="0"/>
          <w:marTop w:val="0"/>
          <w:marBottom w:val="0"/>
          <w:divBdr>
            <w:top w:val="none" w:sz="0" w:space="0" w:color="auto"/>
            <w:left w:val="none" w:sz="0" w:space="0" w:color="auto"/>
            <w:bottom w:val="none" w:sz="0" w:space="0" w:color="auto"/>
            <w:right w:val="none" w:sz="0" w:space="0" w:color="auto"/>
          </w:divBdr>
        </w:div>
        <w:div w:id="701784971">
          <w:marLeft w:val="274"/>
          <w:marRight w:val="0"/>
          <w:marTop w:val="0"/>
          <w:marBottom w:val="0"/>
          <w:divBdr>
            <w:top w:val="none" w:sz="0" w:space="0" w:color="auto"/>
            <w:left w:val="none" w:sz="0" w:space="0" w:color="auto"/>
            <w:bottom w:val="none" w:sz="0" w:space="0" w:color="auto"/>
            <w:right w:val="none" w:sz="0" w:space="0" w:color="auto"/>
          </w:divBdr>
        </w:div>
        <w:div w:id="875234271">
          <w:marLeft w:val="274"/>
          <w:marRight w:val="0"/>
          <w:marTop w:val="0"/>
          <w:marBottom w:val="0"/>
          <w:divBdr>
            <w:top w:val="none" w:sz="0" w:space="0" w:color="auto"/>
            <w:left w:val="none" w:sz="0" w:space="0" w:color="auto"/>
            <w:bottom w:val="none" w:sz="0" w:space="0" w:color="auto"/>
            <w:right w:val="none" w:sz="0" w:space="0" w:color="auto"/>
          </w:divBdr>
        </w:div>
        <w:div w:id="1204752992">
          <w:marLeft w:val="274"/>
          <w:marRight w:val="0"/>
          <w:marTop w:val="0"/>
          <w:marBottom w:val="0"/>
          <w:divBdr>
            <w:top w:val="none" w:sz="0" w:space="0" w:color="auto"/>
            <w:left w:val="none" w:sz="0" w:space="0" w:color="auto"/>
            <w:bottom w:val="none" w:sz="0" w:space="0" w:color="auto"/>
            <w:right w:val="none" w:sz="0" w:space="0" w:color="auto"/>
          </w:divBdr>
        </w:div>
        <w:div w:id="1915553453">
          <w:marLeft w:val="274"/>
          <w:marRight w:val="0"/>
          <w:marTop w:val="0"/>
          <w:marBottom w:val="0"/>
          <w:divBdr>
            <w:top w:val="none" w:sz="0" w:space="0" w:color="auto"/>
            <w:left w:val="none" w:sz="0" w:space="0" w:color="auto"/>
            <w:bottom w:val="none" w:sz="0" w:space="0" w:color="auto"/>
            <w:right w:val="none" w:sz="0" w:space="0" w:color="auto"/>
          </w:divBdr>
        </w:div>
        <w:div w:id="2017271087">
          <w:marLeft w:val="274"/>
          <w:marRight w:val="0"/>
          <w:marTop w:val="0"/>
          <w:marBottom w:val="0"/>
          <w:divBdr>
            <w:top w:val="none" w:sz="0" w:space="0" w:color="auto"/>
            <w:left w:val="none" w:sz="0" w:space="0" w:color="auto"/>
            <w:bottom w:val="none" w:sz="0" w:space="0" w:color="auto"/>
            <w:right w:val="none" w:sz="0" w:space="0" w:color="auto"/>
          </w:divBdr>
        </w:div>
      </w:divsChild>
    </w:div>
    <w:div w:id="547761214">
      <w:bodyDiv w:val="1"/>
      <w:marLeft w:val="0"/>
      <w:marRight w:val="0"/>
      <w:marTop w:val="0"/>
      <w:marBottom w:val="0"/>
      <w:divBdr>
        <w:top w:val="none" w:sz="0" w:space="0" w:color="auto"/>
        <w:left w:val="none" w:sz="0" w:space="0" w:color="auto"/>
        <w:bottom w:val="none" w:sz="0" w:space="0" w:color="auto"/>
        <w:right w:val="none" w:sz="0" w:space="0" w:color="auto"/>
      </w:divBdr>
    </w:div>
    <w:div w:id="552278686">
      <w:bodyDiv w:val="1"/>
      <w:marLeft w:val="0"/>
      <w:marRight w:val="0"/>
      <w:marTop w:val="0"/>
      <w:marBottom w:val="0"/>
      <w:divBdr>
        <w:top w:val="none" w:sz="0" w:space="0" w:color="auto"/>
        <w:left w:val="none" w:sz="0" w:space="0" w:color="auto"/>
        <w:bottom w:val="none" w:sz="0" w:space="0" w:color="auto"/>
        <w:right w:val="none" w:sz="0" w:space="0" w:color="auto"/>
      </w:divBdr>
      <w:divsChild>
        <w:div w:id="1055853">
          <w:marLeft w:val="446"/>
          <w:marRight w:val="0"/>
          <w:marTop w:val="0"/>
          <w:marBottom w:val="0"/>
          <w:divBdr>
            <w:top w:val="none" w:sz="0" w:space="0" w:color="auto"/>
            <w:left w:val="none" w:sz="0" w:space="0" w:color="auto"/>
            <w:bottom w:val="none" w:sz="0" w:space="0" w:color="auto"/>
            <w:right w:val="none" w:sz="0" w:space="0" w:color="auto"/>
          </w:divBdr>
        </w:div>
        <w:div w:id="673455024">
          <w:marLeft w:val="446"/>
          <w:marRight w:val="0"/>
          <w:marTop w:val="0"/>
          <w:marBottom w:val="0"/>
          <w:divBdr>
            <w:top w:val="none" w:sz="0" w:space="0" w:color="auto"/>
            <w:left w:val="none" w:sz="0" w:space="0" w:color="auto"/>
            <w:bottom w:val="none" w:sz="0" w:space="0" w:color="auto"/>
            <w:right w:val="none" w:sz="0" w:space="0" w:color="auto"/>
          </w:divBdr>
        </w:div>
        <w:div w:id="1463309382">
          <w:marLeft w:val="446"/>
          <w:marRight w:val="0"/>
          <w:marTop w:val="0"/>
          <w:marBottom w:val="0"/>
          <w:divBdr>
            <w:top w:val="none" w:sz="0" w:space="0" w:color="auto"/>
            <w:left w:val="none" w:sz="0" w:space="0" w:color="auto"/>
            <w:bottom w:val="none" w:sz="0" w:space="0" w:color="auto"/>
            <w:right w:val="none" w:sz="0" w:space="0" w:color="auto"/>
          </w:divBdr>
        </w:div>
        <w:div w:id="1755006785">
          <w:marLeft w:val="446"/>
          <w:marRight w:val="0"/>
          <w:marTop w:val="0"/>
          <w:marBottom w:val="0"/>
          <w:divBdr>
            <w:top w:val="none" w:sz="0" w:space="0" w:color="auto"/>
            <w:left w:val="none" w:sz="0" w:space="0" w:color="auto"/>
            <w:bottom w:val="none" w:sz="0" w:space="0" w:color="auto"/>
            <w:right w:val="none" w:sz="0" w:space="0" w:color="auto"/>
          </w:divBdr>
        </w:div>
        <w:div w:id="1887523130">
          <w:marLeft w:val="446"/>
          <w:marRight w:val="0"/>
          <w:marTop w:val="0"/>
          <w:marBottom w:val="0"/>
          <w:divBdr>
            <w:top w:val="none" w:sz="0" w:space="0" w:color="auto"/>
            <w:left w:val="none" w:sz="0" w:space="0" w:color="auto"/>
            <w:bottom w:val="none" w:sz="0" w:space="0" w:color="auto"/>
            <w:right w:val="none" w:sz="0" w:space="0" w:color="auto"/>
          </w:divBdr>
        </w:div>
        <w:div w:id="1891578174">
          <w:marLeft w:val="446"/>
          <w:marRight w:val="0"/>
          <w:marTop w:val="0"/>
          <w:marBottom w:val="0"/>
          <w:divBdr>
            <w:top w:val="none" w:sz="0" w:space="0" w:color="auto"/>
            <w:left w:val="none" w:sz="0" w:space="0" w:color="auto"/>
            <w:bottom w:val="none" w:sz="0" w:space="0" w:color="auto"/>
            <w:right w:val="none" w:sz="0" w:space="0" w:color="auto"/>
          </w:divBdr>
        </w:div>
      </w:divsChild>
    </w:div>
    <w:div w:id="553548286">
      <w:bodyDiv w:val="1"/>
      <w:marLeft w:val="0"/>
      <w:marRight w:val="0"/>
      <w:marTop w:val="0"/>
      <w:marBottom w:val="0"/>
      <w:divBdr>
        <w:top w:val="none" w:sz="0" w:space="0" w:color="auto"/>
        <w:left w:val="none" w:sz="0" w:space="0" w:color="auto"/>
        <w:bottom w:val="none" w:sz="0" w:space="0" w:color="auto"/>
        <w:right w:val="none" w:sz="0" w:space="0" w:color="auto"/>
      </w:divBdr>
    </w:div>
    <w:div w:id="553734331">
      <w:bodyDiv w:val="1"/>
      <w:marLeft w:val="0"/>
      <w:marRight w:val="0"/>
      <w:marTop w:val="0"/>
      <w:marBottom w:val="0"/>
      <w:divBdr>
        <w:top w:val="none" w:sz="0" w:space="0" w:color="auto"/>
        <w:left w:val="none" w:sz="0" w:space="0" w:color="auto"/>
        <w:bottom w:val="none" w:sz="0" w:space="0" w:color="auto"/>
        <w:right w:val="none" w:sz="0" w:space="0" w:color="auto"/>
      </w:divBdr>
    </w:div>
    <w:div w:id="555513878">
      <w:bodyDiv w:val="1"/>
      <w:marLeft w:val="0"/>
      <w:marRight w:val="0"/>
      <w:marTop w:val="0"/>
      <w:marBottom w:val="0"/>
      <w:divBdr>
        <w:top w:val="none" w:sz="0" w:space="0" w:color="auto"/>
        <w:left w:val="none" w:sz="0" w:space="0" w:color="auto"/>
        <w:bottom w:val="none" w:sz="0" w:space="0" w:color="auto"/>
        <w:right w:val="none" w:sz="0" w:space="0" w:color="auto"/>
      </w:divBdr>
      <w:divsChild>
        <w:div w:id="1240217398">
          <w:marLeft w:val="274"/>
          <w:marRight w:val="0"/>
          <w:marTop w:val="0"/>
          <w:marBottom w:val="0"/>
          <w:divBdr>
            <w:top w:val="none" w:sz="0" w:space="0" w:color="auto"/>
            <w:left w:val="none" w:sz="0" w:space="0" w:color="auto"/>
            <w:bottom w:val="none" w:sz="0" w:space="0" w:color="auto"/>
            <w:right w:val="none" w:sz="0" w:space="0" w:color="auto"/>
          </w:divBdr>
        </w:div>
        <w:div w:id="1607426020">
          <w:marLeft w:val="274"/>
          <w:marRight w:val="0"/>
          <w:marTop w:val="0"/>
          <w:marBottom w:val="0"/>
          <w:divBdr>
            <w:top w:val="none" w:sz="0" w:space="0" w:color="auto"/>
            <w:left w:val="none" w:sz="0" w:space="0" w:color="auto"/>
            <w:bottom w:val="none" w:sz="0" w:space="0" w:color="auto"/>
            <w:right w:val="none" w:sz="0" w:space="0" w:color="auto"/>
          </w:divBdr>
        </w:div>
      </w:divsChild>
    </w:div>
    <w:div w:id="571080798">
      <w:bodyDiv w:val="1"/>
      <w:marLeft w:val="0"/>
      <w:marRight w:val="0"/>
      <w:marTop w:val="0"/>
      <w:marBottom w:val="0"/>
      <w:divBdr>
        <w:top w:val="none" w:sz="0" w:space="0" w:color="auto"/>
        <w:left w:val="none" w:sz="0" w:space="0" w:color="auto"/>
        <w:bottom w:val="none" w:sz="0" w:space="0" w:color="auto"/>
        <w:right w:val="none" w:sz="0" w:space="0" w:color="auto"/>
      </w:divBdr>
    </w:div>
    <w:div w:id="582108653">
      <w:bodyDiv w:val="1"/>
      <w:marLeft w:val="0"/>
      <w:marRight w:val="0"/>
      <w:marTop w:val="0"/>
      <w:marBottom w:val="0"/>
      <w:divBdr>
        <w:top w:val="none" w:sz="0" w:space="0" w:color="auto"/>
        <w:left w:val="none" w:sz="0" w:space="0" w:color="auto"/>
        <w:bottom w:val="none" w:sz="0" w:space="0" w:color="auto"/>
        <w:right w:val="none" w:sz="0" w:space="0" w:color="auto"/>
      </w:divBdr>
      <w:divsChild>
        <w:div w:id="537355372">
          <w:marLeft w:val="274"/>
          <w:marRight w:val="0"/>
          <w:marTop w:val="0"/>
          <w:marBottom w:val="0"/>
          <w:divBdr>
            <w:top w:val="none" w:sz="0" w:space="0" w:color="auto"/>
            <w:left w:val="none" w:sz="0" w:space="0" w:color="auto"/>
            <w:bottom w:val="none" w:sz="0" w:space="0" w:color="auto"/>
            <w:right w:val="none" w:sz="0" w:space="0" w:color="auto"/>
          </w:divBdr>
        </w:div>
        <w:div w:id="1496995329">
          <w:marLeft w:val="274"/>
          <w:marRight w:val="0"/>
          <w:marTop w:val="0"/>
          <w:marBottom w:val="0"/>
          <w:divBdr>
            <w:top w:val="none" w:sz="0" w:space="0" w:color="auto"/>
            <w:left w:val="none" w:sz="0" w:space="0" w:color="auto"/>
            <w:bottom w:val="none" w:sz="0" w:space="0" w:color="auto"/>
            <w:right w:val="none" w:sz="0" w:space="0" w:color="auto"/>
          </w:divBdr>
        </w:div>
      </w:divsChild>
    </w:div>
    <w:div w:id="582959773">
      <w:bodyDiv w:val="1"/>
      <w:marLeft w:val="0"/>
      <w:marRight w:val="0"/>
      <w:marTop w:val="0"/>
      <w:marBottom w:val="0"/>
      <w:divBdr>
        <w:top w:val="none" w:sz="0" w:space="0" w:color="auto"/>
        <w:left w:val="none" w:sz="0" w:space="0" w:color="auto"/>
        <w:bottom w:val="none" w:sz="0" w:space="0" w:color="auto"/>
        <w:right w:val="none" w:sz="0" w:space="0" w:color="auto"/>
      </w:divBdr>
    </w:div>
    <w:div w:id="590162955">
      <w:bodyDiv w:val="1"/>
      <w:marLeft w:val="0"/>
      <w:marRight w:val="0"/>
      <w:marTop w:val="0"/>
      <w:marBottom w:val="0"/>
      <w:divBdr>
        <w:top w:val="none" w:sz="0" w:space="0" w:color="auto"/>
        <w:left w:val="none" w:sz="0" w:space="0" w:color="auto"/>
        <w:bottom w:val="none" w:sz="0" w:space="0" w:color="auto"/>
        <w:right w:val="none" w:sz="0" w:space="0" w:color="auto"/>
      </w:divBdr>
      <w:divsChild>
        <w:div w:id="282661681">
          <w:marLeft w:val="274"/>
          <w:marRight w:val="0"/>
          <w:marTop w:val="0"/>
          <w:marBottom w:val="0"/>
          <w:divBdr>
            <w:top w:val="none" w:sz="0" w:space="0" w:color="auto"/>
            <w:left w:val="none" w:sz="0" w:space="0" w:color="auto"/>
            <w:bottom w:val="none" w:sz="0" w:space="0" w:color="auto"/>
            <w:right w:val="none" w:sz="0" w:space="0" w:color="auto"/>
          </w:divBdr>
        </w:div>
        <w:div w:id="829517529">
          <w:marLeft w:val="274"/>
          <w:marRight w:val="0"/>
          <w:marTop w:val="0"/>
          <w:marBottom w:val="0"/>
          <w:divBdr>
            <w:top w:val="none" w:sz="0" w:space="0" w:color="auto"/>
            <w:left w:val="none" w:sz="0" w:space="0" w:color="auto"/>
            <w:bottom w:val="none" w:sz="0" w:space="0" w:color="auto"/>
            <w:right w:val="none" w:sz="0" w:space="0" w:color="auto"/>
          </w:divBdr>
        </w:div>
        <w:div w:id="951673136">
          <w:marLeft w:val="274"/>
          <w:marRight w:val="0"/>
          <w:marTop w:val="0"/>
          <w:marBottom w:val="0"/>
          <w:divBdr>
            <w:top w:val="none" w:sz="0" w:space="0" w:color="auto"/>
            <w:left w:val="none" w:sz="0" w:space="0" w:color="auto"/>
            <w:bottom w:val="none" w:sz="0" w:space="0" w:color="auto"/>
            <w:right w:val="none" w:sz="0" w:space="0" w:color="auto"/>
          </w:divBdr>
        </w:div>
        <w:div w:id="1990669989">
          <w:marLeft w:val="274"/>
          <w:marRight w:val="0"/>
          <w:marTop w:val="0"/>
          <w:marBottom w:val="0"/>
          <w:divBdr>
            <w:top w:val="none" w:sz="0" w:space="0" w:color="auto"/>
            <w:left w:val="none" w:sz="0" w:space="0" w:color="auto"/>
            <w:bottom w:val="none" w:sz="0" w:space="0" w:color="auto"/>
            <w:right w:val="none" w:sz="0" w:space="0" w:color="auto"/>
          </w:divBdr>
        </w:div>
      </w:divsChild>
    </w:div>
    <w:div w:id="624652645">
      <w:bodyDiv w:val="1"/>
      <w:marLeft w:val="0"/>
      <w:marRight w:val="0"/>
      <w:marTop w:val="0"/>
      <w:marBottom w:val="0"/>
      <w:divBdr>
        <w:top w:val="none" w:sz="0" w:space="0" w:color="auto"/>
        <w:left w:val="none" w:sz="0" w:space="0" w:color="auto"/>
        <w:bottom w:val="none" w:sz="0" w:space="0" w:color="auto"/>
        <w:right w:val="none" w:sz="0" w:space="0" w:color="auto"/>
      </w:divBdr>
      <w:divsChild>
        <w:div w:id="704523618">
          <w:marLeft w:val="274"/>
          <w:marRight w:val="0"/>
          <w:marTop w:val="60"/>
          <w:marBottom w:val="0"/>
          <w:divBdr>
            <w:top w:val="none" w:sz="0" w:space="0" w:color="auto"/>
            <w:left w:val="none" w:sz="0" w:space="0" w:color="auto"/>
            <w:bottom w:val="none" w:sz="0" w:space="0" w:color="auto"/>
            <w:right w:val="none" w:sz="0" w:space="0" w:color="auto"/>
          </w:divBdr>
        </w:div>
      </w:divsChild>
    </w:div>
    <w:div w:id="627784138">
      <w:bodyDiv w:val="1"/>
      <w:marLeft w:val="0"/>
      <w:marRight w:val="0"/>
      <w:marTop w:val="0"/>
      <w:marBottom w:val="0"/>
      <w:divBdr>
        <w:top w:val="none" w:sz="0" w:space="0" w:color="auto"/>
        <w:left w:val="none" w:sz="0" w:space="0" w:color="auto"/>
        <w:bottom w:val="none" w:sz="0" w:space="0" w:color="auto"/>
        <w:right w:val="none" w:sz="0" w:space="0" w:color="auto"/>
      </w:divBdr>
    </w:div>
    <w:div w:id="633945196">
      <w:bodyDiv w:val="1"/>
      <w:marLeft w:val="0"/>
      <w:marRight w:val="0"/>
      <w:marTop w:val="0"/>
      <w:marBottom w:val="0"/>
      <w:divBdr>
        <w:top w:val="none" w:sz="0" w:space="0" w:color="auto"/>
        <w:left w:val="none" w:sz="0" w:space="0" w:color="auto"/>
        <w:bottom w:val="none" w:sz="0" w:space="0" w:color="auto"/>
        <w:right w:val="none" w:sz="0" w:space="0" w:color="auto"/>
      </w:divBdr>
    </w:div>
    <w:div w:id="637494751">
      <w:bodyDiv w:val="1"/>
      <w:marLeft w:val="0"/>
      <w:marRight w:val="0"/>
      <w:marTop w:val="0"/>
      <w:marBottom w:val="0"/>
      <w:divBdr>
        <w:top w:val="none" w:sz="0" w:space="0" w:color="auto"/>
        <w:left w:val="none" w:sz="0" w:space="0" w:color="auto"/>
        <w:bottom w:val="none" w:sz="0" w:space="0" w:color="auto"/>
        <w:right w:val="none" w:sz="0" w:space="0" w:color="auto"/>
      </w:divBdr>
    </w:div>
    <w:div w:id="646979875">
      <w:bodyDiv w:val="1"/>
      <w:marLeft w:val="0"/>
      <w:marRight w:val="0"/>
      <w:marTop w:val="0"/>
      <w:marBottom w:val="0"/>
      <w:divBdr>
        <w:top w:val="none" w:sz="0" w:space="0" w:color="auto"/>
        <w:left w:val="none" w:sz="0" w:space="0" w:color="auto"/>
        <w:bottom w:val="none" w:sz="0" w:space="0" w:color="auto"/>
        <w:right w:val="none" w:sz="0" w:space="0" w:color="auto"/>
      </w:divBdr>
    </w:div>
    <w:div w:id="649096270">
      <w:bodyDiv w:val="1"/>
      <w:marLeft w:val="0"/>
      <w:marRight w:val="0"/>
      <w:marTop w:val="0"/>
      <w:marBottom w:val="0"/>
      <w:divBdr>
        <w:top w:val="none" w:sz="0" w:space="0" w:color="auto"/>
        <w:left w:val="none" w:sz="0" w:space="0" w:color="auto"/>
        <w:bottom w:val="none" w:sz="0" w:space="0" w:color="auto"/>
        <w:right w:val="none" w:sz="0" w:space="0" w:color="auto"/>
      </w:divBdr>
      <w:divsChild>
        <w:div w:id="131098984">
          <w:marLeft w:val="274"/>
          <w:marRight w:val="0"/>
          <w:marTop w:val="0"/>
          <w:marBottom w:val="0"/>
          <w:divBdr>
            <w:top w:val="none" w:sz="0" w:space="0" w:color="auto"/>
            <w:left w:val="none" w:sz="0" w:space="0" w:color="auto"/>
            <w:bottom w:val="none" w:sz="0" w:space="0" w:color="auto"/>
            <w:right w:val="none" w:sz="0" w:space="0" w:color="auto"/>
          </w:divBdr>
        </w:div>
        <w:div w:id="561988442">
          <w:marLeft w:val="274"/>
          <w:marRight w:val="0"/>
          <w:marTop w:val="0"/>
          <w:marBottom w:val="0"/>
          <w:divBdr>
            <w:top w:val="none" w:sz="0" w:space="0" w:color="auto"/>
            <w:left w:val="none" w:sz="0" w:space="0" w:color="auto"/>
            <w:bottom w:val="none" w:sz="0" w:space="0" w:color="auto"/>
            <w:right w:val="none" w:sz="0" w:space="0" w:color="auto"/>
          </w:divBdr>
        </w:div>
        <w:div w:id="1215506268">
          <w:marLeft w:val="274"/>
          <w:marRight w:val="0"/>
          <w:marTop w:val="0"/>
          <w:marBottom w:val="0"/>
          <w:divBdr>
            <w:top w:val="none" w:sz="0" w:space="0" w:color="auto"/>
            <w:left w:val="none" w:sz="0" w:space="0" w:color="auto"/>
            <w:bottom w:val="none" w:sz="0" w:space="0" w:color="auto"/>
            <w:right w:val="none" w:sz="0" w:space="0" w:color="auto"/>
          </w:divBdr>
        </w:div>
        <w:div w:id="1713652915">
          <w:marLeft w:val="274"/>
          <w:marRight w:val="0"/>
          <w:marTop w:val="0"/>
          <w:marBottom w:val="0"/>
          <w:divBdr>
            <w:top w:val="none" w:sz="0" w:space="0" w:color="auto"/>
            <w:left w:val="none" w:sz="0" w:space="0" w:color="auto"/>
            <w:bottom w:val="none" w:sz="0" w:space="0" w:color="auto"/>
            <w:right w:val="none" w:sz="0" w:space="0" w:color="auto"/>
          </w:divBdr>
        </w:div>
        <w:div w:id="1845392461">
          <w:marLeft w:val="274"/>
          <w:marRight w:val="0"/>
          <w:marTop w:val="0"/>
          <w:marBottom w:val="0"/>
          <w:divBdr>
            <w:top w:val="none" w:sz="0" w:space="0" w:color="auto"/>
            <w:left w:val="none" w:sz="0" w:space="0" w:color="auto"/>
            <w:bottom w:val="none" w:sz="0" w:space="0" w:color="auto"/>
            <w:right w:val="none" w:sz="0" w:space="0" w:color="auto"/>
          </w:divBdr>
        </w:div>
      </w:divsChild>
    </w:div>
    <w:div w:id="683215587">
      <w:bodyDiv w:val="1"/>
      <w:marLeft w:val="0"/>
      <w:marRight w:val="0"/>
      <w:marTop w:val="0"/>
      <w:marBottom w:val="0"/>
      <w:divBdr>
        <w:top w:val="none" w:sz="0" w:space="0" w:color="auto"/>
        <w:left w:val="none" w:sz="0" w:space="0" w:color="auto"/>
        <w:bottom w:val="none" w:sz="0" w:space="0" w:color="auto"/>
        <w:right w:val="none" w:sz="0" w:space="0" w:color="auto"/>
      </w:divBdr>
      <w:divsChild>
        <w:div w:id="436756388">
          <w:marLeft w:val="0"/>
          <w:marRight w:val="0"/>
          <w:marTop w:val="0"/>
          <w:marBottom w:val="0"/>
          <w:divBdr>
            <w:top w:val="none" w:sz="0" w:space="0" w:color="auto"/>
            <w:left w:val="none" w:sz="0" w:space="0" w:color="auto"/>
            <w:bottom w:val="none" w:sz="0" w:space="0" w:color="auto"/>
            <w:right w:val="none" w:sz="0" w:space="0" w:color="auto"/>
          </w:divBdr>
          <w:divsChild>
            <w:div w:id="2127067">
              <w:marLeft w:val="0"/>
              <w:marRight w:val="0"/>
              <w:marTop w:val="0"/>
              <w:marBottom w:val="0"/>
              <w:divBdr>
                <w:top w:val="none" w:sz="0" w:space="0" w:color="auto"/>
                <w:left w:val="none" w:sz="0" w:space="0" w:color="auto"/>
                <w:bottom w:val="none" w:sz="0" w:space="0" w:color="auto"/>
                <w:right w:val="none" w:sz="0" w:space="0" w:color="auto"/>
              </w:divBdr>
              <w:divsChild>
                <w:div w:id="1522355342">
                  <w:marLeft w:val="0"/>
                  <w:marRight w:val="0"/>
                  <w:marTop w:val="0"/>
                  <w:marBottom w:val="0"/>
                  <w:divBdr>
                    <w:top w:val="none" w:sz="0" w:space="0" w:color="auto"/>
                    <w:left w:val="none" w:sz="0" w:space="0" w:color="auto"/>
                    <w:bottom w:val="none" w:sz="0" w:space="0" w:color="auto"/>
                    <w:right w:val="none" w:sz="0" w:space="0" w:color="auto"/>
                  </w:divBdr>
                  <w:divsChild>
                    <w:div w:id="1519277488">
                      <w:marLeft w:val="0"/>
                      <w:marRight w:val="0"/>
                      <w:marTop w:val="0"/>
                      <w:marBottom w:val="0"/>
                      <w:divBdr>
                        <w:top w:val="none" w:sz="0" w:space="0" w:color="auto"/>
                        <w:left w:val="none" w:sz="0" w:space="0" w:color="auto"/>
                        <w:bottom w:val="none" w:sz="0" w:space="0" w:color="auto"/>
                        <w:right w:val="none" w:sz="0" w:space="0" w:color="auto"/>
                      </w:divBdr>
                      <w:divsChild>
                        <w:div w:id="1184857846">
                          <w:marLeft w:val="0"/>
                          <w:marRight w:val="0"/>
                          <w:marTop w:val="0"/>
                          <w:marBottom w:val="0"/>
                          <w:divBdr>
                            <w:top w:val="none" w:sz="0" w:space="0" w:color="auto"/>
                            <w:left w:val="none" w:sz="0" w:space="0" w:color="auto"/>
                            <w:bottom w:val="none" w:sz="0" w:space="0" w:color="auto"/>
                            <w:right w:val="none" w:sz="0" w:space="0" w:color="auto"/>
                          </w:divBdr>
                          <w:divsChild>
                            <w:div w:id="14614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0496">
      <w:bodyDiv w:val="1"/>
      <w:marLeft w:val="0"/>
      <w:marRight w:val="0"/>
      <w:marTop w:val="0"/>
      <w:marBottom w:val="0"/>
      <w:divBdr>
        <w:top w:val="none" w:sz="0" w:space="0" w:color="auto"/>
        <w:left w:val="none" w:sz="0" w:space="0" w:color="auto"/>
        <w:bottom w:val="none" w:sz="0" w:space="0" w:color="auto"/>
        <w:right w:val="none" w:sz="0" w:space="0" w:color="auto"/>
      </w:divBdr>
      <w:divsChild>
        <w:div w:id="779960255">
          <w:marLeft w:val="720"/>
          <w:marRight w:val="0"/>
          <w:marTop w:val="0"/>
          <w:marBottom w:val="0"/>
          <w:divBdr>
            <w:top w:val="none" w:sz="0" w:space="0" w:color="auto"/>
            <w:left w:val="none" w:sz="0" w:space="0" w:color="auto"/>
            <w:bottom w:val="none" w:sz="0" w:space="0" w:color="auto"/>
            <w:right w:val="none" w:sz="0" w:space="0" w:color="auto"/>
          </w:divBdr>
        </w:div>
      </w:divsChild>
    </w:div>
    <w:div w:id="687416033">
      <w:bodyDiv w:val="1"/>
      <w:marLeft w:val="0"/>
      <w:marRight w:val="0"/>
      <w:marTop w:val="0"/>
      <w:marBottom w:val="0"/>
      <w:divBdr>
        <w:top w:val="none" w:sz="0" w:space="0" w:color="auto"/>
        <w:left w:val="none" w:sz="0" w:space="0" w:color="auto"/>
        <w:bottom w:val="none" w:sz="0" w:space="0" w:color="auto"/>
        <w:right w:val="none" w:sz="0" w:space="0" w:color="auto"/>
      </w:divBdr>
      <w:divsChild>
        <w:div w:id="193226357">
          <w:marLeft w:val="1166"/>
          <w:marRight w:val="0"/>
          <w:marTop w:val="0"/>
          <w:marBottom w:val="0"/>
          <w:divBdr>
            <w:top w:val="none" w:sz="0" w:space="0" w:color="auto"/>
            <w:left w:val="none" w:sz="0" w:space="0" w:color="auto"/>
            <w:bottom w:val="none" w:sz="0" w:space="0" w:color="auto"/>
            <w:right w:val="none" w:sz="0" w:space="0" w:color="auto"/>
          </w:divBdr>
        </w:div>
        <w:div w:id="908227056">
          <w:marLeft w:val="1166"/>
          <w:marRight w:val="0"/>
          <w:marTop w:val="0"/>
          <w:marBottom w:val="0"/>
          <w:divBdr>
            <w:top w:val="none" w:sz="0" w:space="0" w:color="auto"/>
            <w:left w:val="none" w:sz="0" w:space="0" w:color="auto"/>
            <w:bottom w:val="none" w:sz="0" w:space="0" w:color="auto"/>
            <w:right w:val="none" w:sz="0" w:space="0" w:color="auto"/>
          </w:divBdr>
        </w:div>
        <w:div w:id="936717753">
          <w:marLeft w:val="1166"/>
          <w:marRight w:val="0"/>
          <w:marTop w:val="0"/>
          <w:marBottom w:val="0"/>
          <w:divBdr>
            <w:top w:val="none" w:sz="0" w:space="0" w:color="auto"/>
            <w:left w:val="none" w:sz="0" w:space="0" w:color="auto"/>
            <w:bottom w:val="none" w:sz="0" w:space="0" w:color="auto"/>
            <w:right w:val="none" w:sz="0" w:space="0" w:color="auto"/>
          </w:divBdr>
        </w:div>
        <w:div w:id="1093093022">
          <w:marLeft w:val="1166"/>
          <w:marRight w:val="0"/>
          <w:marTop w:val="0"/>
          <w:marBottom w:val="0"/>
          <w:divBdr>
            <w:top w:val="none" w:sz="0" w:space="0" w:color="auto"/>
            <w:left w:val="none" w:sz="0" w:space="0" w:color="auto"/>
            <w:bottom w:val="none" w:sz="0" w:space="0" w:color="auto"/>
            <w:right w:val="none" w:sz="0" w:space="0" w:color="auto"/>
          </w:divBdr>
        </w:div>
        <w:div w:id="1785297568">
          <w:marLeft w:val="1166"/>
          <w:marRight w:val="0"/>
          <w:marTop w:val="0"/>
          <w:marBottom w:val="0"/>
          <w:divBdr>
            <w:top w:val="none" w:sz="0" w:space="0" w:color="auto"/>
            <w:left w:val="none" w:sz="0" w:space="0" w:color="auto"/>
            <w:bottom w:val="none" w:sz="0" w:space="0" w:color="auto"/>
            <w:right w:val="none" w:sz="0" w:space="0" w:color="auto"/>
          </w:divBdr>
        </w:div>
      </w:divsChild>
    </w:div>
    <w:div w:id="693921021">
      <w:bodyDiv w:val="1"/>
      <w:marLeft w:val="0"/>
      <w:marRight w:val="0"/>
      <w:marTop w:val="0"/>
      <w:marBottom w:val="0"/>
      <w:divBdr>
        <w:top w:val="none" w:sz="0" w:space="0" w:color="auto"/>
        <w:left w:val="none" w:sz="0" w:space="0" w:color="auto"/>
        <w:bottom w:val="none" w:sz="0" w:space="0" w:color="auto"/>
        <w:right w:val="none" w:sz="0" w:space="0" w:color="auto"/>
      </w:divBdr>
    </w:div>
    <w:div w:id="701170617">
      <w:bodyDiv w:val="1"/>
      <w:marLeft w:val="0"/>
      <w:marRight w:val="0"/>
      <w:marTop w:val="0"/>
      <w:marBottom w:val="0"/>
      <w:divBdr>
        <w:top w:val="none" w:sz="0" w:space="0" w:color="auto"/>
        <w:left w:val="none" w:sz="0" w:space="0" w:color="auto"/>
        <w:bottom w:val="none" w:sz="0" w:space="0" w:color="auto"/>
        <w:right w:val="none" w:sz="0" w:space="0" w:color="auto"/>
      </w:divBdr>
      <w:divsChild>
        <w:div w:id="844979237">
          <w:marLeft w:val="274"/>
          <w:marRight w:val="0"/>
          <w:marTop w:val="0"/>
          <w:marBottom w:val="0"/>
          <w:divBdr>
            <w:top w:val="none" w:sz="0" w:space="0" w:color="auto"/>
            <w:left w:val="none" w:sz="0" w:space="0" w:color="auto"/>
            <w:bottom w:val="none" w:sz="0" w:space="0" w:color="auto"/>
            <w:right w:val="none" w:sz="0" w:space="0" w:color="auto"/>
          </w:divBdr>
        </w:div>
      </w:divsChild>
    </w:div>
    <w:div w:id="705259679">
      <w:bodyDiv w:val="1"/>
      <w:marLeft w:val="0"/>
      <w:marRight w:val="0"/>
      <w:marTop w:val="0"/>
      <w:marBottom w:val="0"/>
      <w:divBdr>
        <w:top w:val="none" w:sz="0" w:space="0" w:color="auto"/>
        <w:left w:val="none" w:sz="0" w:space="0" w:color="auto"/>
        <w:bottom w:val="none" w:sz="0" w:space="0" w:color="auto"/>
        <w:right w:val="none" w:sz="0" w:space="0" w:color="auto"/>
      </w:divBdr>
    </w:div>
    <w:div w:id="710149414">
      <w:bodyDiv w:val="1"/>
      <w:marLeft w:val="0"/>
      <w:marRight w:val="0"/>
      <w:marTop w:val="0"/>
      <w:marBottom w:val="0"/>
      <w:divBdr>
        <w:top w:val="none" w:sz="0" w:space="0" w:color="auto"/>
        <w:left w:val="none" w:sz="0" w:space="0" w:color="auto"/>
        <w:bottom w:val="none" w:sz="0" w:space="0" w:color="auto"/>
        <w:right w:val="none" w:sz="0" w:space="0" w:color="auto"/>
      </w:divBdr>
    </w:div>
    <w:div w:id="711073946">
      <w:bodyDiv w:val="1"/>
      <w:marLeft w:val="0"/>
      <w:marRight w:val="0"/>
      <w:marTop w:val="0"/>
      <w:marBottom w:val="0"/>
      <w:divBdr>
        <w:top w:val="none" w:sz="0" w:space="0" w:color="auto"/>
        <w:left w:val="none" w:sz="0" w:space="0" w:color="auto"/>
        <w:bottom w:val="none" w:sz="0" w:space="0" w:color="auto"/>
        <w:right w:val="none" w:sz="0" w:space="0" w:color="auto"/>
      </w:divBdr>
    </w:div>
    <w:div w:id="757101030">
      <w:bodyDiv w:val="1"/>
      <w:marLeft w:val="0"/>
      <w:marRight w:val="0"/>
      <w:marTop w:val="0"/>
      <w:marBottom w:val="0"/>
      <w:divBdr>
        <w:top w:val="none" w:sz="0" w:space="0" w:color="auto"/>
        <w:left w:val="none" w:sz="0" w:space="0" w:color="auto"/>
        <w:bottom w:val="none" w:sz="0" w:space="0" w:color="auto"/>
        <w:right w:val="none" w:sz="0" w:space="0" w:color="auto"/>
      </w:divBdr>
    </w:div>
    <w:div w:id="758142316">
      <w:bodyDiv w:val="1"/>
      <w:marLeft w:val="0"/>
      <w:marRight w:val="0"/>
      <w:marTop w:val="0"/>
      <w:marBottom w:val="0"/>
      <w:divBdr>
        <w:top w:val="none" w:sz="0" w:space="0" w:color="auto"/>
        <w:left w:val="none" w:sz="0" w:space="0" w:color="auto"/>
        <w:bottom w:val="none" w:sz="0" w:space="0" w:color="auto"/>
        <w:right w:val="none" w:sz="0" w:space="0" w:color="auto"/>
      </w:divBdr>
    </w:div>
    <w:div w:id="775364830">
      <w:bodyDiv w:val="1"/>
      <w:marLeft w:val="0"/>
      <w:marRight w:val="0"/>
      <w:marTop w:val="0"/>
      <w:marBottom w:val="0"/>
      <w:divBdr>
        <w:top w:val="none" w:sz="0" w:space="0" w:color="auto"/>
        <w:left w:val="none" w:sz="0" w:space="0" w:color="auto"/>
        <w:bottom w:val="none" w:sz="0" w:space="0" w:color="auto"/>
        <w:right w:val="none" w:sz="0" w:space="0" w:color="auto"/>
      </w:divBdr>
    </w:div>
    <w:div w:id="791747603">
      <w:bodyDiv w:val="1"/>
      <w:marLeft w:val="0"/>
      <w:marRight w:val="0"/>
      <w:marTop w:val="0"/>
      <w:marBottom w:val="0"/>
      <w:divBdr>
        <w:top w:val="none" w:sz="0" w:space="0" w:color="auto"/>
        <w:left w:val="none" w:sz="0" w:space="0" w:color="auto"/>
        <w:bottom w:val="none" w:sz="0" w:space="0" w:color="auto"/>
        <w:right w:val="none" w:sz="0" w:space="0" w:color="auto"/>
      </w:divBdr>
    </w:div>
    <w:div w:id="799107769">
      <w:bodyDiv w:val="1"/>
      <w:marLeft w:val="0"/>
      <w:marRight w:val="0"/>
      <w:marTop w:val="0"/>
      <w:marBottom w:val="0"/>
      <w:divBdr>
        <w:top w:val="none" w:sz="0" w:space="0" w:color="auto"/>
        <w:left w:val="none" w:sz="0" w:space="0" w:color="auto"/>
        <w:bottom w:val="none" w:sz="0" w:space="0" w:color="auto"/>
        <w:right w:val="none" w:sz="0" w:space="0" w:color="auto"/>
      </w:divBdr>
    </w:div>
    <w:div w:id="804471377">
      <w:bodyDiv w:val="1"/>
      <w:marLeft w:val="0"/>
      <w:marRight w:val="0"/>
      <w:marTop w:val="0"/>
      <w:marBottom w:val="0"/>
      <w:divBdr>
        <w:top w:val="none" w:sz="0" w:space="0" w:color="auto"/>
        <w:left w:val="none" w:sz="0" w:space="0" w:color="auto"/>
        <w:bottom w:val="none" w:sz="0" w:space="0" w:color="auto"/>
        <w:right w:val="none" w:sz="0" w:space="0" w:color="auto"/>
      </w:divBdr>
    </w:div>
    <w:div w:id="807863927">
      <w:bodyDiv w:val="1"/>
      <w:marLeft w:val="0"/>
      <w:marRight w:val="0"/>
      <w:marTop w:val="0"/>
      <w:marBottom w:val="0"/>
      <w:divBdr>
        <w:top w:val="none" w:sz="0" w:space="0" w:color="auto"/>
        <w:left w:val="none" w:sz="0" w:space="0" w:color="auto"/>
        <w:bottom w:val="none" w:sz="0" w:space="0" w:color="auto"/>
        <w:right w:val="none" w:sz="0" w:space="0" w:color="auto"/>
      </w:divBdr>
    </w:div>
    <w:div w:id="810561096">
      <w:bodyDiv w:val="1"/>
      <w:marLeft w:val="0"/>
      <w:marRight w:val="0"/>
      <w:marTop w:val="0"/>
      <w:marBottom w:val="0"/>
      <w:divBdr>
        <w:top w:val="none" w:sz="0" w:space="0" w:color="auto"/>
        <w:left w:val="none" w:sz="0" w:space="0" w:color="auto"/>
        <w:bottom w:val="none" w:sz="0" w:space="0" w:color="auto"/>
        <w:right w:val="none" w:sz="0" w:space="0" w:color="auto"/>
      </w:divBdr>
      <w:divsChild>
        <w:div w:id="317265906">
          <w:marLeft w:val="274"/>
          <w:marRight w:val="0"/>
          <w:marTop w:val="0"/>
          <w:marBottom w:val="0"/>
          <w:divBdr>
            <w:top w:val="none" w:sz="0" w:space="0" w:color="auto"/>
            <w:left w:val="none" w:sz="0" w:space="0" w:color="auto"/>
            <w:bottom w:val="none" w:sz="0" w:space="0" w:color="auto"/>
            <w:right w:val="none" w:sz="0" w:space="0" w:color="auto"/>
          </w:divBdr>
        </w:div>
      </w:divsChild>
    </w:div>
    <w:div w:id="816531445">
      <w:bodyDiv w:val="1"/>
      <w:marLeft w:val="0"/>
      <w:marRight w:val="0"/>
      <w:marTop w:val="0"/>
      <w:marBottom w:val="0"/>
      <w:divBdr>
        <w:top w:val="none" w:sz="0" w:space="0" w:color="auto"/>
        <w:left w:val="none" w:sz="0" w:space="0" w:color="auto"/>
        <w:bottom w:val="none" w:sz="0" w:space="0" w:color="auto"/>
        <w:right w:val="none" w:sz="0" w:space="0" w:color="auto"/>
      </w:divBdr>
    </w:div>
    <w:div w:id="846598073">
      <w:bodyDiv w:val="1"/>
      <w:marLeft w:val="0"/>
      <w:marRight w:val="0"/>
      <w:marTop w:val="0"/>
      <w:marBottom w:val="0"/>
      <w:divBdr>
        <w:top w:val="none" w:sz="0" w:space="0" w:color="auto"/>
        <w:left w:val="none" w:sz="0" w:space="0" w:color="auto"/>
        <w:bottom w:val="none" w:sz="0" w:space="0" w:color="auto"/>
        <w:right w:val="none" w:sz="0" w:space="0" w:color="auto"/>
      </w:divBdr>
    </w:div>
    <w:div w:id="853500887">
      <w:bodyDiv w:val="1"/>
      <w:marLeft w:val="0"/>
      <w:marRight w:val="0"/>
      <w:marTop w:val="0"/>
      <w:marBottom w:val="0"/>
      <w:divBdr>
        <w:top w:val="none" w:sz="0" w:space="0" w:color="auto"/>
        <w:left w:val="none" w:sz="0" w:space="0" w:color="auto"/>
        <w:bottom w:val="none" w:sz="0" w:space="0" w:color="auto"/>
        <w:right w:val="none" w:sz="0" w:space="0" w:color="auto"/>
      </w:divBdr>
    </w:div>
    <w:div w:id="855575848">
      <w:bodyDiv w:val="1"/>
      <w:marLeft w:val="0"/>
      <w:marRight w:val="0"/>
      <w:marTop w:val="0"/>
      <w:marBottom w:val="0"/>
      <w:divBdr>
        <w:top w:val="none" w:sz="0" w:space="0" w:color="auto"/>
        <w:left w:val="none" w:sz="0" w:space="0" w:color="auto"/>
        <w:bottom w:val="none" w:sz="0" w:space="0" w:color="auto"/>
        <w:right w:val="none" w:sz="0" w:space="0" w:color="auto"/>
      </w:divBdr>
    </w:div>
    <w:div w:id="871844635">
      <w:bodyDiv w:val="1"/>
      <w:marLeft w:val="0"/>
      <w:marRight w:val="0"/>
      <w:marTop w:val="0"/>
      <w:marBottom w:val="0"/>
      <w:divBdr>
        <w:top w:val="none" w:sz="0" w:space="0" w:color="auto"/>
        <w:left w:val="none" w:sz="0" w:space="0" w:color="auto"/>
        <w:bottom w:val="none" w:sz="0" w:space="0" w:color="auto"/>
        <w:right w:val="none" w:sz="0" w:space="0" w:color="auto"/>
      </w:divBdr>
    </w:div>
    <w:div w:id="903300246">
      <w:bodyDiv w:val="1"/>
      <w:marLeft w:val="0"/>
      <w:marRight w:val="0"/>
      <w:marTop w:val="0"/>
      <w:marBottom w:val="0"/>
      <w:divBdr>
        <w:top w:val="none" w:sz="0" w:space="0" w:color="auto"/>
        <w:left w:val="none" w:sz="0" w:space="0" w:color="auto"/>
        <w:bottom w:val="none" w:sz="0" w:space="0" w:color="auto"/>
        <w:right w:val="none" w:sz="0" w:space="0" w:color="auto"/>
      </w:divBdr>
      <w:divsChild>
        <w:div w:id="2075159267">
          <w:marLeft w:val="274"/>
          <w:marRight w:val="0"/>
          <w:marTop w:val="0"/>
          <w:marBottom w:val="0"/>
          <w:divBdr>
            <w:top w:val="none" w:sz="0" w:space="0" w:color="auto"/>
            <w:left w:val="none" w:sz="0" w:space="0" w:color="auto"/>
            <w:bottom w:val="none" w:sz="0" w:space="0" w:color="auto"/>
            <w:right w:val="none" w:sz="0" w:space="0" w:color="auto"/>
          </w:divBdr>
        </w:div>
      </w:divsChild>
    </w:div>
    <w:div w:id="905410588">
      <w:bodyDiv w:val="1"/>
      <w:marLeft w:val="0"/>
      <w:marRight w:val="0"/>
      <w:marTop w:val="0"/>
      <w:marBottom w:val="0"/>
      <w:divBdr>
        <w:top w:val="none" w:sz="0" w:space="0" w:color="auto"/>
        <w:left w:val="none" w:sz="0" w:space="0" w:color="auto"/>
        <w:bottom w:val="none" w:sz="0" w:space="0" w:color="auto"/>
        <w:right w:val="none" w:sz="0" w:space="0" w:color="auto"/>
      </w:divBdr>
    </w:div>
    <w:div w:id="919023769">
      <w:bodyDiv w:val="1"/>
      <w:marLeft w:val="0"/>
      <w:marRight w:val="0"/>
      <w:marTop w:val="0"/>
      <w:marBottom w:val="0"/>
      <w:divBdr>
        <w:top w:val="none" w:sz="0" w:space="0" w:color="auto"/>
        <w:left w:val="none" w:sz="0" w:space="0" w:color="auto"/>
        <w:bottom w:val="none" w:sz="0" w:space="0" w:color="auto"/>
        <w:right w:val="none" w:sz="0" w:space="0" w:color="auto"/>
      </w:divBdr>
    </w:div>
    <w:div w:id="930505743">
      <w:bodyDiv w:val="1"/>
      <w:marLeft w:val="0"/>
      <w:marRight w:val="0"/>
      <w:marTop w:val="0"/>
      <w:marBottom w:val="0"/>
      <w:divBdr>
        <w:top w:val="none" w:sz="0" w:space="0" w:color="auto"/>
        <w:left w:val="none" w:sz="0" w:space="0" w:color="auto"/>
        <w:bottom w:val="none" w:sz="0" w:space="0" w:color="auto"/>
        <w:right w:val="none" w:sz="0" w:space="0" w:color="auto"/>
      </w:divBdr>
    </w:div>
    <w:div w:id="941768119">
      <w:bodyDiv w:val="1"/>
      <w:marLeft w:val="0"/>
      <w:marRight w:val="0"/>
      <w:marTop w:val="0"/>
      <w:marBottom w:val="0"/>
      <w:divBdr>
        <w:top w:val="none" w:sz="0" w:space="0" w:color="auto"/>
        <w:left w:val="none" w:sz="0" w:space="0" w:color="auto"/>
        <w:bottom w:val="none" w:sz="0" w:space="0" w:color="auto"/>
        <w:right w:val="none" w:sz="0" w:space="0" w:color="auto"/>
      </w:divBdr>
    </w:div>
    <w:div w:id="946084473">
      <w:bodyDiv w:val="1"/>
      <w:marLeft w:val="0"/>
      <w:marRight w:val="0"/>
      <w:marTop w:val="0"/>
      <w:marBottom w:val="0"/>
      <w:divBdr>
        <w:top w:val="none" w:sz="0" w:space="0" w:color="auto"/>
        <w:left w:val="none" w:sz="0" w:space="0" w:color="auto"/>
        <w:bottom w:val="none" w:sz="0" w:space="0" w:color="auto"/>
        <w:right w:val="none" w:sz="0" w:space="0" w:color="auto"/>
      </w:divBdr>
      <w:divsChild>
        <w:div w:id="1009870622">
          <w:marLeft w:val="274"/>
          <w:marRight w:val="0"/>
          <w:marTop w:val="0"/>
          <w:marBottom w:val="0"/>
          <w:divBdr>
            <w:top w:val="none" w:sz="0" w:space="0" w:color="auto"/>
            <w:left w:val="none" w:sz="0" w:space="0" w:color="auto"/>
            <w:bottom w:val="none" w:sz="0" w:space="0" w:color="auto"/>
            <w:right w:val="none" w:sz="0" w:space="0" w:color="auto"/>
          </w:divBdr>
        </w:div>
        <w:div w:id="1210535005">
          <w:marLeft w:val="274"/>
          <w:marRight w:val="0"/>
          <w:marTop w:val="0"/>
          <w:marBottom w:val="0"/>
          <w:divBdr>
            <w:top w:val="none" w:sz="0" w:space="0" w:color="auto"/>
            <w:left w:val="none" w:sz="0" w:space="0" w:color="auto"/>
            <w:bottom w:val="none" w:sz="0" w:space="0" w:color="auto"/>
            <w:right w:val="none" w:sz="0" w:space="0" w:color="auto"/>
          </w:divBdr>
        </w:div>
        <w:div w:id="1260486180">
          <w:marLeft w:val="274"/>
          <w:marRight w:val="0"/>
          <w:marTop w:val="0"/>
          <w:marBottom w:val="0"/>
          <w:divBdr>
            <w:top w:val="none" w:sz="0" w:space="0" w:color="auto"/>
            <w:left w:val="none" w:sz="0" w:space="0" w:color="auto"/>
            <w:bottom w:val="none" w:sz="0" w:space="0" w:color="auto"/>
            <w:right w:val="none" w:sz="0" w:space="0" w:color="auto"/>
          </w:divBdr>
        </w:div>
        <w:div w:id="1594628444">
          <w:marLeft w:val="274"/>
          <w:marRight w:val="0"/>
          <w:marTop w:val="0"/>
          <w:marBottom w:val="0"/>
          <w:divBdr>
            <w:top w:val="none" w:sz="0" w:space="0" w:color="auto"/>
            <w:left w:val="none" w:sz="0" w:space="0" w:color="auto"/>
            <w:bottom w:val="none" w:sz="0" w:space="0" w:color="auto"/>
            <w:right w:val="none" w:sz="0" w:space="0" w:color="auto"/>
          </w:divBdr>
        </w:div>
        <w:div w:id="2017998439">
          <w:marLeft w:val="274"/>
          <w:marRight w:val="0"/>
          <w:marTop w:val="0"/>
          <w:marBottom w:val="0"/>
          <w:divBdr>
            <w:top w:val="none" w:sz="0" w:space="0" w:color="auto"/>
            <w:left w:val="none" w:sz="0" w:space="0" w:color="auto"/>
            <w:bottom w:val="none" w:sz="0" w:space="0" w:color="auto"/>
            <w:right w:val="none" w:sz="0" w:space="0" w:color="auto"/>
          </w:divBdr>
        </w:div>
        <w:div w:id="2030258137">
          <w:marLeft w:val="274"/>
          <w:marRight w:val="0"/>
          <w:marTop w:val="0"/>
          <w:marBottom w:val="0"/>
          <w:divBdr>
            <w:top w:val="none" w:sz="0" w:space="0" w:color="auto"/>
            <w:left w:val="none" w:sz="0" w:space="0" w:color="auto"/>
            <w:bottom w:val="none" w:sz="0" w:space="0" w:color="auto"/>
            <w:right w:val="none" w:sz="0" w:space="0" w:color="auto"/>
          </w:divBdr>
        </w:div>
      </w:divsChild>
    </w:div>
    <w:div w:id="1007096560">
      <w:bodyDiv w:val="1"/>
      <w:marLeft w:val="0"/>
      <w:marRight w:val="0"/>
      <w:marTop w:val="0"/>
      <w:marBottom w:val="0"/>
      <w:divBdr>
        <w:top w:val="none" w:sz="0" w:space="0" w:color="auto"/>
        <w:left w:val="none" w:sz="0" w:space="0" w:color="auto"/>
        <w:bottom w:val="none" w:sz="0" w:space="0" w:color="auto"/>
        <w:right w:val="none" w:sz="0" w:space="0" w:color="auto"/>
      </w:divBdr>
    </w:div>
    <w:div w:id="1009063793">
      <w:bodyDiv w:val="1"/>
      <w:marLeft w:val="0"/>
      <w:marRight w:val="0"/>
      <w:marTop w:val="0"/>
      <w:marBottom w:val="0"/>
      <w:divBdr>
        <w:top w:val="none" w:sz="0" w:space="0" w:color="auto"/>
        <w:left w:val="none" w:sz="0" w:space="0" w:color="auto"/>
        <w:bottom w:val="none" w:sz="0" w:space="0" w:color="auto"/>
        <w:right w:val="none" w:sz="0" w:space="0" w:color="auto"/>
      </w:divBdr>
    </w:div>
    <w:div w:id="1010328550">
      <w:bodyDiv w:val="1"/>
      <w:marLeft w:val="0"/>
      <w:marRight w:val="0"/>
      <w:marTop w:val="0"/>
      <w:marBottom w:val="0"/>
      <w:divBdr>
        <w:top w:val="none" w:sz="0" w:space="0" w:color="auto"/>
        <w:left w:val="none" w:sz="0" w:space="0" w:color="auto"/>
        <w:bottom w:val="none" w:sz="0" w:space="0" w:color="auto"/>
        <w:right w:val="none" w:sz="0" w:space="0" w:color="auto"/>
      </w:divBdr>
    </w:div>
    <w:div w:id="1011836607">
      <w:bodyDiv w:val="1"/>
      <w:marLeft w:val="0"/>
      <w:marRight w:val="0"/>
      <w:marTop w:val="0"/>
      <w:marBottom w:val="0"/>
      <w:divBdr>
        <w:top w:val="none" w:sz="0" w:space="0" w:color="auto"/>
        <w:left w:val="none" w:sz="0" w:space="0" w:color="auto"/>
        <w:bottom w:val="none" w:sz="0" w:space="0" w:color="auto"/>
        <w:right w:val="none" w:sz="0" w:space="0" w:color="auto"/>
      </w:divBdr>
    </w:div>
    <w:div w:id="1022129336">
      <w:bodyDiv w:val="1"/>
      <w:marLeft w:val="0"/>
      <w:marRight w:val="0"/>
      <w:marTop w:val="0"/>
      <w:marBottom w:val="0"/>
      <w:divBdr>
        <w:top w:val="none" w:sz="0" w:space="0" w:color="auto"/>
        <w:left w:val="none" w:sz="0" w:space="0" w:color="auto"/>
        <w:bottom w:val="none" w:sz="0" w:space="0" w:color="auto"/>
        <w:right w:val="none" w:sz="0" w:space="0" w:color="auto"/>
      </w:divBdr>
      <w:divsChild>
        <w:div w:id="935749571">
          <w:marLeft w:val="274"/>
          <w:marRight w:val="0"/>
          <w:marTop w:val="0"/>
          <w:marBottom w:val="0"/>
          <w:divBdr>
            <w:top w:val="none" w:sz="0" w:space="0" w:color="auto"/>
            <w:left w:val="none" w:sz="0" w:space="0" w:color="auto"/>
            <w:bottom w:val="none" w:sz="0" w:space="0" w:color="auto"/>
            <w:right w:val="none" w:sz="0" w:space="0" w:color="auto"/>
          </w:divBdr>
        </w:div>
        <w:div w:id="1791901410">
          <w:marLeft w:val="274"/>
          <w:marRight w:val="0"/>
          <w:marTop w:val="0"/>
          <w:marBottom w:val="0"/>
          <w:divBdr>
            <w:top w:val="none" w:sz="0" w:space="0" w:color="auto"/>
            <w:left w:val="none" w:sz="0" w:space="0" w:color="auto"/>
            <w:bottom w:val="none" w:sz="0" w:space="0" w:color="auto"/>
            <w:right w:val="none" w:sz="0" w:space="0" w:color="auto"/>
          </w:divBdr>
        </w:div>
      </w:divsChild>
    </w:div>
    <w:div w:id="1034111359">
      <w:bodyDiv w:val="1"/>
      <w:marLeft w:val="0"/>
      <w:marRight w:val="0"/>
      <w:marTop w:val="0"/>
      <w:marBottom w:val="0"/>
      <w:divBdr>
        <w:top w:val="none" w:sz="0" w:space="0" w:color="auto"/>
        <w:left w:val="none" w:sz="0" w:space="0" w:color="auto"/>
        <w:bottom w:val="none" w:sz="0" w:space="0" w:color="auto"/>
        <w:right w:val="none" w:sz="0" w:space="0" w:color="auto"/>
      </w:divBdr>
    </w:div>
    <w:div w:id="1054934694">
      <w:bodyDiv w:val="1"/>
      <w:marLeft w:val="0"/>
      <w:marRight w:val="0"/>
      <w:marTop w:val="0"/>
      <w:marBottom w:val="0"/>
      <w:divBdr>
        <w:top w:val="none" w:sz="0" w:space="0" w:color="auto"/>
        <w:left w:val="none" w:sz="0" w:space="0" w:color="auto"/>
        <w:bottom w:val="none" w:sz="0" w:space="0" w:color="auto"/>
        <w:right w:val="none" w:sz="0" w:space="0" w:color="auto"/>
      </w:divBdr>
    </w:div>
    <w:div w:id="1060861079">
      <w:bodyDiv w:val="1"/>
      <w:marLeft w:val="0"/>
      <w:marRight w:val="0"/>
      <w:marTop w:val="0"/>
      <w:marBottom w:val="0"/>
      <w:divBdr>
        <w:top w:val="none" w:sz="0" w:space="0" w:color="auto"/>
        <w:left w:val="none" w:sz="0" w:space="0" w:color="auto"/>
        <w:bottom w:val="none" w:sz="0" w:space="0" w:color="auto"/>
        <w:right w:val="none" w:sz="0" w:space="0" w:color="auto"/>
      </w:divBdr>
    </w:div>
    <w:div w:id="1076976147">
      <w:bodyDiv w:val="1"/>
      <w:marLeft w:val="0"/>
      <w:marRight w:val="0"/>
      <w:marTop w:val="0"/>
      <w:marBottom w:val="0"/>
      <w:divBdr>
        <w:top w:val="none" w:sz="0" w:space="0" w:color="auto"/>
        <w:left w:val="none" w:sz="0" w:space="0" w:color="auto"/>
        <w:bottom w:val="none" w:sz="0" w:space="0" w:color="auto"/>
        <w:right w:val="none" w:sz="0" w:space="0" w:color="auto"/>
      </w:divBdr>
    </w:div>
    <w:div w:id="1087113811">
      <w:bodyDiv w:val="1"/>
      <w:marLeft w:val="0"/>
      <w:marRight w:val="0"/>
      <w:marTop w:val="0"/>
      <w:marBottom w:val="0"/>
      <w:divBdr>
        <w:top w:val="none" w:sz="0" w:space="0" w:color="auto"/>
        <w:left w:val="none" w:sz="0" w:space="0" w:color="auto"/>
        <w:bottom w:val="none" w:sz="0" w:space="0" w:color="auto"/>
        <w:right w:val="none" w:sz="0" w:space="0" w:color="auto"/>
      </w:divBdr>
    </w:div>
    <w:div w:id="1112047410">
      <w:bodyDiv w:val="1"/>
      <w:marLeft w:val="0"/>
      <w:marRight w:val="0"/>
      <w:marTop w:val="0"/>
      <w:marBottom w:val="0"/>
      <w:divBdr>
        <w:top w:val="none" w:sz="0" w:space="0" w:color="auto"/>
        <w:left w:val="none" w:sz="0" w:space="0" w:color="auto"/>
        <w:bottom w:val="none" w:sz="0" w:space="0" w:color="auto"/>
        <w:right w:val="none" w:sz="0" w:space="0" w:color="auto"/>
      </w:divBdr>
    </w:div>
    <w:div w:id="1112746802">
      <w:bodyDiv w:val="1"/>
      <w:marLeft w:val="0"/>
      <w:marRight w:val="0"/>
      <w:marTop w:val="0"/>
      <w:marBottom w:val="0"/>
      <w:divBdr>
        <w:top w:val="none" w:sz="0" w:space="0" w:color="auto"/>
        <w:left w:val="none" w:sz="0" w:space="0" w:color="auto"/>
        <w:bottom w:val="none" w:sz="0" w:space="0" w:color="auto"/>
        <w:right w:val="none" w:sz="0" w:space="0" w:color="auto"/>
      </w:divBdr>
    </w:div>
    <w:div w:id="1116489984">
      <w:bodyDiv w:val="1"/>
      <w:marLeft w:val="0"/>
      <w:marRight w:val="0"/>
      <w:marTop w:val="0"/>
      <w:marBottom w:val="0"/>
      <w:divBdr>
        <w:top w:val="none" w:sz="0" w:space="0" w:color="auto"/>
        <w:left w:val="none" w:sz="0" w:space="0" w:color="auto"/>
        <w:bottom w:val="none" w:sz="0" w:space="0" w:color="auto"/>
        <w:right w:val="none" w:sz="0" w:space="0" w:color="auto"/>
      </w:divBdr>
      <w:divsChild>
        <w:div w:id="2091922224">
          <w:marLeft w:val="274"/>
          <w:marRight w:val="0"/>
          <w:marTop w:val="0"/>
          <w:marBottom w:val="0"/>
          <w:divBdr>
            <w:top w:val="none" w:sz="0" w:space="0" w:color="auto"/>
            <w:left w:val="none" w:sz="0" w:space="0" w:color="auto"/>
            <w:bottom w:val="none" w:sz="0" w:space="0" w:color="auto"/>
            <w:right w:val="none" w:sz="0" w:space="0" w:color="auto"/>
          </w:divBdr>
        </w:div>
      </w:divsChild>
    </w:div>
    <w:div w:id="1121799073">
      <w:bodyDiv w:val="1"/>
      <w:marLeft w:val="0"/>
      <w:marRight w:val="0"/>
      <w:marTop w:val="0"/>
      <w:marBottom w:val="0"/>
      <w:divBdr>
        <w:top w:val="none" w:sz="0" w:space="0" w:color="auto"/>
        <w:left w:val="none" w:sz="0" w:space="0" w:color="auto"/>
        <w:bottom w:val="none" w:sz="0" w:space="0" w:color="auto"/>
        <w:right w:val="none" w:sz="0" w:space="0" w:color="auto"/>
      </w:divBdr>
      <w:divsChild>
        <w:div w:id="4792709">
          <w:marLeft w:val="274"/>
          <w:marRight w:val="0"/>
          <w:marTop w:val="0"/>
          <w:marBottom w:val="0"/>
          <w:divBdr>
            <w:top w:val="none" w:sz="0" w:space="0" w:color="auto"/>
            <w:left w:val="none" w:sz="0" w:space="0" w:color="auto"/>
            <w:bottom w:val="none" w:sz="0" w:space="0" w:color="auto"/>
            <w:right w:val="none" w:sz="0" w:space="0" w:color="auto"/>
          </w:divBdr>
        </w:div>
        <w:div w:id="630131311">
          <w:marLeft w:val="274"/>
          <w:marRight w:val="0"/>
          <w:marTop w:val="0"/>
          <w:marBottom w:val="0"/>
          <w:divBdr>
            <w:top w:val="none" w:sz="0" w:space="0" w:color="auto"/>
            <w:left w:val="none" w:sz="0" w:space="0" w:color="auto"/>
            <w:bottom w:val="none" w:sz="0" w:space="0" w:color="auto"/>
            <w:right w:val="none" w:sz="0" w:space="0" w:color="auto"/>
          </w:divBdr>
        </w:div>
        <w:div w:id="1163550362">
          <w:marLeft w:val="274"/>
          <w:marRight w:val="0"/>
          <w:marTop w:val="0"/>
          <w:marBottom w:val="0"/>
          <w:divBdr>
            <w:top w:val="none" w:sz="0" w:space="0" w:color="auto"/>
            <w:left w:val="none" w:sz="0" w:space="0" w:color="auto"/>
            <w:bottom w:val="none" w:sz="0" w:space="0" w:color="auto"/>
            <w:right w:val="none" w:sz="0" w:space="0" w:color="auto"/>
          </w:divBdr>
        </w:div>
        <w:div w:id="1497920413">
          <w:marLeft w:val="274"/>
          <w:marRight w:val="0"/>
          <w:marTop w:val="0"/>
          <w:marBottom w:val="0"/>
          <w:divBdr>
            <w:top w:val="none" w:sz="0" w:space="0" w:color="auto"/>
            <w:left w:val="none" w:sz="0" w:space="0" w:color="auto"/>
            <w:bottom w:val="none" w:sz="0" w:space="0" w:color="auto"/>
            <w:right w:val="none" w:sz="0" w:space="0" w:color="auto"/>
          </w:divBdr>
        </w:div>
        <w:div w:id="1644776491">
          <w:marLeft w:val="274"/>
          <w:marRight w:val="0"/>
          <w:marTop w:val="0"/>
          <w:marBottom w:val="0"/>
          <w:divBdr>
            <w:top w:val="none" w:sz="0" w:space="0" w:color="auto"/>
            <w:left w:val="none" w:sz="0" w:space="0" w:color="auto"/>
            <w:bottom w:val="none" w:sz="0" w:space="0" w:color="auto"/>
            <w:right w:val="none" w:sz="0" w:space="0" w:color="auto"/>
          </w:divBdr>
        </w:div>
        <w:div w:id="1842087106">
          <w:marLeft w:val="274"/>
          <w:marRight w:val="0"/>
          <w:marTop w:val="0"/>
          <w:marBottom w:val="0"/>
          <w:divBdr>
            <w:top w:val="none" w:sz="0" w:space="0" w:color="auto"/>
            <w:left w:val="none" w:sz="0" w:space="0" w:color="auto"/>
            <w:bottom w:val="none" w:sz="0" w:space="0" w:color="auto"/>
            <w:right w:val="none" w:sz="0" w:space="0" w:color="auto"/>
          </w:divBdr>
        </w:div>
      </w:divsChild>
    </w:div>
    <w:div w:id="1130440349">
      <w:bodyDiv w:val="1"/>
      <w:marLeft w:val="0"/>
      <w:marRight w:val="0"/>
      <w:marTop w:val="0"/>
      <w:marBottom w:val="0"/>
      <w:divBdr>
        <w:top w:val="none" w:sz="0" w:space="0" w:color="auto"/>
        <w:left w:val="none" w:sz="0" w:space="0" w:color="auto"/>
        <w:bottom w:val="none" w:sz="0" w:space="0" w:color="auto"/>
        <w:right w:val="none" w:sz="0" w:space="0" w:color="auto"/>
      </w:divBdr>
    </w:div>
    <w:div w:id="1131820840">
      <w:bodyDiv w:val="1"/>
      <w:marLeft w:val="0"/>
      <w:marRight w:val="0"/>
      <w:marTop w:val="0"/>
      <w:marBottom w:val="0"/>
      <w:divBdr>
        <w:top w:val="none" w:sz="0" w:space="0" w:color="auto"/>
        <w:left w:val="none" w:sz="0" w:space="0" w:color="auto"/>
        <w:bottom w:val="none" w:sz="0" w:space="0" w:color="auto"/>
        <w:right w:val="none" w:sz="0" w:space="0" w:color="auto"/>
      </w:divBdr>
    </w:div>
    <w:div w:id="1187794388">
      <w:bodyDiv w:val="1"/>
      <w:marLeft w:val="0"/>
      <w:marRight w:val="0"/>
      <w:marTop w:val="0"/>
      <w:marBottom w:val="0"/>
      <w:divBdr>
        <w:top w:val="none" w:sz="0" w:space="0" w:color="auto"/>
        <w:left w:val="none" w:sz="0" w:space="0" w:color="auto"/>
        <w:bottom w:val="none" w:sz="0" w:space="0" w:color="auto"/>
        <w:right w:val="none" w:sz="0" w:space="0" w:color="auto"/>
      </w:divBdr>
    </w:div>
    <w:div w:id="1209807022">
      <w:bodyDiv w:val="1"/>
      <w:marLeft w:val="0"/>
      <w:marRight w:val="0"/>
      <w:marTop w:val="0"/>
      <w:marBottom w:val="0"/>
      <w:divBdr>
        <w:top w:val="none" w:sz="0" w:space="0" w:color="auto"/>
        <w:left w:val="none" w:sz="0" w:space="0" w:color="auto"/>
        <w:bottom w:val="none" w:sz="0" w:space="0" w:color="auto"/>
        <w:right w:val="none" w:sz="0" w:space="0" w:color="auto"/>
      </w:divBdr>
    </w:div>
    <w:div w:id="1219515578">
      <w:bodyDiv w:val="1"/>
      <w:marLeft w:val="0"/>
      <w:marRight w:val="0"/>
      <w:marTop w:val="0"/>
      <w:marBottom w:val="0"/>
      <w:divBdr>
        <w:top w:val="none" w:sz="0" w:space="0" w:color="auto"/>
        <w:left w:val="none" w:sz="0" w:space="0" w:color="auto"/>
        <w:bottom w:val="none" w:sz="0" w:space="0" w:color="auto"/>
        <w:right w:val="none" w:sz="0" w:space="0" w:color="auto"/>
      </w:divBdr>
      <w:divsChild>
        <w:div w:id="268128981">
          <w:marLeft w:val="274"/>
          <w:marRight w:val="0"/>
          <w:marTop w:val="0"/>
          <w:marBottom w:val="0"/>
          <w:divBdr>
            <w:top w:val="none" w:sz="0" w:space="0" w:color="auto"/>
            <w:left w:val="none" w:sz="0" w:space="0" w:color="auto"/>
            <w:bottom w:val="none" w:sz="0" w:space="0" w:color="auto"/>
            <w:right w:val="none" w:sz="0" w:space="0" w:color="auto"/>
          </w:divBdr>
        </w:div>
      </w:divsChild>
    </w:div>
    <w:div w:id="1223129269">
      <w:bodyDiv w:val="1"/>
      <w:marLeft w:val="0"/>
      <w:marRight w:val="0"/>
      <w:marTop w:val="0"/>
      <w:marBottom w:val="0"/>
      <w:divBdr>
        <w:top w:val="none" w:sz="0" w:space="0" w:color="auto"/>
        <w:left w:val="none" w:sz="0" w:space="0" w:color="auto"/>
        <w:bottom w:val="none" w:sz="0" w:space="0" w:color="auto"/>
        <w:right w:val="none" w:sz="0" w:space="0" w:color="auto"/>
      </w:divBdr>
      <w:divsChild>
        <w:div w:id="1069617308">
          <w:marLeft w:val="274"/>
          <w:marRight w:val="0"/>
          <w:marTop w:val="0"/>
          <w:marBottom w:val="0"/>
          <w:divBdr>
            <w:top w:val="none" w:sz="0" w:space="0" w:color="auto"/>
            <w:left w:val="none" w:sz="0" w:space="0" w:color="auto"/>
            <w:bottom w:val="none" w:sz="0" w:space="0" w:color="auto"/>
            <w:right w:val="none" w:sz="0" w:space="0" w:color="auto"/>
          </w:divBdr>
        </w:div>
      </w:divsChild>
    </w:div>
    <w:div w:id="1245646954">
      <w:bodyDiv w:val="1"/>
      <w:marLeft w:val="0"/>
      <w:marRight w:val="0"/>
      <w:marTop w:val="0"/>
      <w:marBottom w:val="0"/>
      <w:divBdr>
        <w:top w:val="none" w:sz="0" w:space="0" w:color="auto"/>
        <w:left w:val="none" w:sz="0" w:space="0" w:color="auto"/>
        <w:bottom w:val="none" w:sz="0" w:space="0" w:color="auto"/>
        <w:right w:val="none" w:sz="0" w:space="0" w:color="auto"/>
      </w:divBdr>
    </w:div>
    <w:div w:id="1285455257">
      <w:bodyDiv w:val="1"/>
      <w:marLeft w:val="0"/>
      <w:marRight w:val="0"/>
      <w:marTop w:val="0"/>
      <w:marBottom w:val="0"/>
      <w:divBdr>
        <w:top w:val="none" w:sz="0" w:space="0" w:color="auto"/>
        <w:left w:val="none" w:sz="0" w:space="0" w:color="auto"/>
        <w:bottom w:val="none" w:sz="0" w:space="0" w:color="auto"/>
        <w:right w:val="none" w:sz="0" w:space="0" w:color="auto"/>
      </w:divBdr>
    </w:div>
    <w:div w:id="1301571644">
      <w:bodyDiv w:val="1"/>
      <w:marLeft w:val="0"/>
      <w:marRight w:val="0"/>
      <w:marTop w:val="0"/>
      <w:marBottom w:val="0"/>
      <w:divBdr>
        <w:top w:val="none" w:sz="0" w:space="0" w:color="auto"/>
        <w:left w:val="none" w:sz="0" w:space="0" w:color="auto"/>
        <w:bottom w:val="none" w:sz="0" w:space="0" w:color="auto"/>
        <w:right w:val="none" w:sz="0" w:space="0" w:color="auto"/>
      </w:divBdr>
    </w:div>
    <w:div w:id="1313751909">
      <w:bodyDiv w:val="1"/>
      <w:marLeft w:val="0"/>
      <w:marRight w:val="0"/>
      <w:marTop w:val="0"/>
      <w:marBottom w:val="0"/>
      <w:divBdr>
        <w:top w:val="none" w:sz="0" w:space="0" w:color="auto"/>
        <w:left w:val="none" w:sz="0" w:space="0" w:color="auto"/>
        <w:bottom w:val="none" w:sz="0" w:space="0" w:color="auto"/>
        <w:right w:val="none" w:sz="0" w:space="0" w:color="auto"/>
      </w:divBdr>
      <w:divsChild>
        <w:div w:id="407576807">
          <w:marLeft w:val="274"/>
          <w:marRight w:val="0"/>
          <w:marTop w:val="0"/>
          <w:marBottom w:val="0"/>
          <w:divBdr>
            <w:top w:val="none" w:sz="0" w:space="0" w:color="auto"/>
            <w:left w:val="none" w:sz="0" w:space="0" w:color="auto"/>
            <w:bottom w:val="none" w:sz="0" w:space="0" w:color="auto"/>
            <w:right w:val="none" w:sz="0" w:space="0" w:color="auto"/>
          </w:divBdr>
        </w:div>
      </w:divsChild>
    </w:div>
    <w:div w:id="1317107602">
      <w:bodyDiv w:val="1"/>
      <w:marLeft w:val="0"/>
      <w:marRight w:val="0"/>
      <w:marTop w:val="0"/>
      <w:marBottom w:val="0"/>
      <w:divBdr>
        <w:top w:val="none" w:sz="0" w:space="0" w:color="auto"/>
        <w:left w:val="none" w:sz="0" w:space="0" w:color="auto"/>
        <w:bottom w:val="none" w:sz="0" w:space="0" w:color="auto"/>
        <w:right w:val="none" w:sz="0" w:space="0" w:color="auto"/>
      </w:divBdr>
    </w:div>
    <w:div w:id="1332218922">
      <w:bodyDiv w:val="1"/>
      <w:marLeft w:val="0"/>
      <w:marRight w:val="0"/>
      <w:marTop w:val="0"/>
      <w:marBottom w:val="0"/>
      <w:divBdr>
        <w:top w:val="none" w:sz="0" w:space="0" w:color="auto"/>
        <w:left w:val="none" w:sz="0" w:space="0" w:color="auto"/>
        <w:bottom w:val="none" w:sz="0" w:space="0" w:color="auto"/>
        <w:right w:val="none" w:sz="0" w:space="0" w:color="auto"/>
      </w:divBdr>
    </w:div>
    <w:div w:id="1374845291">
      <w:bodyDiv w:val="1"/>
      <w:marLeft w:val="0"/>
      <w:marRight w:val="0"/>
      <w:marTop w:val="0"/>
      <w:marBottom w:val="0"/>
      <w:divBdr>
        <w:top w:val="none" w:sz="0" w:space="0" w:color="auto"/>
        <w:left w:val="none" w:sz="0" w:space="0" w:color="auto"/>
        <w:bottom w:val="none" w:sz="0" w:space="0" w:color="auto"/>
        <w:right w:val="none" w:sz="0" w:space="0" w:color="auto"/>
      </w:divBdr>
    </w:div>
    <w:div w:id="1389574368">
      <w:bodyDiv w:val="1"/>
      <w:marLeft w:val="0"/>
      <w:marRight w:val="0"/>
      <w:marTop w:val="0"/>
      <w:marBottom w:val="0"/>
      <w:divBdr>
        <w:top w:val="none" w:sz="0" w:space="0" w:color="auto"/>
        <w:left w:val="none" w:sz="0" w:space="0" w:color="auto"/>
        <w:bottom w:val="none" w:sz="0" w:space="0" w:color="auto"/>
        <w:right w:val="none" w:sz="0" w:space="0" w:color="auto"/>
      </w:divBdr>
    </w:div>
    <w:div w:id="1395079073">
      <w:bodyDiv w:val="1"/>
      <w:marLeft w:val="0"/>
      <w:marRight w:val="0"/>
      <w:marTop w:val="0"/>
      <w:marBottom w:val="0"/>
      <w:divBdr>
        <w:top w:val="none" w:sz="0" w:space="0" w:color="auto"/>
        <w:left w:val="none" w:sz="0" w:space="0" w:color="auto"/>
        <w:bottom w:val="none" w:sz="0" w:space="0" w:color="auto"/>
        <w:right w:val="none" w:sz="0" w:space="0" w:color="auto"/>
      </w:divBdr>
    </w:div>
    <w:div w:id="1400516461">
      <w:bodyDiv w:val="1"/>
      <w:marLeft w:val="0"/>
      <w:marRight w:val="0"/>
      <w:marTop w:val="0"/>
      <w:marBottom w:val="0"/>
      <w:divBdr>
        <w:top w:val="none" w:sz="0" w:space="0" w:color="auto"/>
        <w:left w:val="none" w:sz="0" w:space="0" w:color="auto"/>
        <w:bottom w:val="none" w:sz="0" w:space="0" w:color="auto"/>
        <w:right w:val="none" w:sz="0" w:space="0" w:color="auto"/>
      </w:divBdr>
    </w:div>
    <w:div w:id="1409886294">
      <w:bodyDiv w:val="1"/>
      <w:marLeft w:val="0"/>
      <w:marRight w:val="0"/>
      <w:marTop w:val="0"/>
      <w:marBottom w:val="0"/>
      <w:divBdr>
        <w:top w:val="none" w:sz="0" w:space="0" w:color="auto"/>
        <w:left w:val="none" w:sz="0" w:space="0" w:color="auto"/>
        <w:bottom w:val="none" w:sz="0" w:space="0" w:color="auto"/>
        <w:right w:val="none" w:sz="0" w:space="0" w:color="auto"/>
      </w:divBdr>
    </w:div>
    <w:div w:id="1429501837">
      <w:bodyDiv w:val="1"/>
      <w:marLeft w:val="0"/>
      <w:marRight w:val="0"/>
      <w:marTop w:val="0"/>
      <w:marBottom w:val="0"/>
      <w:divBdr>
        <w:top w:val="none" w:sz="0" w:space="0" w:color="auto"/>
        <w:left w:val="none" w:sz="0" w:space="0" w:color="auto"/>
        <w:bottom w:val="none" w:sz="0" w:space="0" w:color="auto"/>
        <w:right w:val="none" w:sz="0" w:space="0" w:color="auto"/>
      </w:divBdr>
    </w:div>
    <w:div w:id="1450783816">
      <w:bodyDiv w:val="1"/>
      <w:marLeft w:val="0"/>
      <w:marRight w:val="0"/>
      <w:marTop w:val="0"/>
      <w:marBottom w:val="0"/>
      <w:divBdr>
        <w:top w:val="none" w:sz="0" w:space="0" w:color="auto"/>
        <w:left w:val="none" w:sz="0" w:space="0" w:color="auto"/>
        <w:bottom w:val="none" w:sz="0" w:space="0" w:color="auto"/>
        <w:right w:val="none" w:sz="0" w:space="0" w:color="auto"/>
      </w:divBdr>
    </w:div>
    <w:div w:id="1466509440">
      <w:bodyDiv w:val="1"/>
      <w:marLeft w:val="0"/>
      <w:marRight w:val="0"/>
      <w:marTop w:val="0"/>
      <w:marBottom w:val="0"/>
      <w:divBdr>
        <w:top w:val="none" w:sz="0" w:space="0" w:color="auto"/>
        <w:left w:val="none" w:sz="0" w:space="0" w:color="auto"/>
        <w:bottom w:val="none" w:sz="0" w:space="0" w:color="auto"/>
        <w:right w:val="none" w:sz="0" w:space="0" w:color="auto"/>
      </w:divBdr>
      <w:divsChild>
        <w:div w:id="1198815886">
          <w:marLeft w:val="274"/>
          <w:marRight w:val="0"/>
          <w:marTop w:val="0"/>
          <w:marBottom w:val="0"/>
          <w:divBdr>
            <w:top w:val="none" w:sz="0" w:space="0" w:color="auto"/>
            <w:left w:val="none" w:sz="0" w:space="0" w:color="auto"/>
            <w:bottom w:val="none" w:sz="0" w:space="0" w:color="auto"/>
            <w:right w:val="none" w:sz="0" w:space="0" w:color="auto"/>
          </w:divBdr>
        </w:div>
      </w:divsChild>
    </w:div>
    <w:div w:id="1471091206">
      <w:bodyDiv w:val="1"/>
      <w:marLeft w:val="0"/>
      <w:marRight w:val="0"/>
      <w:marTop w:val="0"/>
      <w:marBottom w:val="0"/>
      <w:divBdr>
        <w:top w:val="none" w:sz="0" w:space="0" w:color="auto"/>
        <w:left w:val="none" w:sz="0" w:space="0" w:color="auto"/>
        <w:bottom w:val="none" w:sz="0" w:space="0" w:color="auto"/>
        <w:right w:val="none" w:sz="0" w:space="0" w:color="auto"/>
      </w:divBdr>
    </w:div>
    <w:div w:id="1479106007">
      <w:bodyDiv w:val="1"/>
      <w:marLeft w:val="0"/>
      <w:marRight w:val="0"/>
      <w:marTop w:val="0"/>
      <w:marBottom w:val="0"/>
      <w:divBdr>
        <w:top w:val="none" w:sz="0" w:space="0" w:color="auto"/>
        <w:left w:val="none" w:sz="0" w:space="0" w:color="auto"/>
        <w:bottom w:val="none" w:sz="0" w:space="0" w:color="auto"/>
        <w:right w:val="none" w:sz="0" w:space="0" w:color="auto"/>
      </w:divBdr>
      <w:divsChild>
        <w:div w:id="949162743">
          <w:marLeft w:val="446"/>
          <w:marRight w:val="0"/>
          <w:marTop w:val="0"/>
          <w:marBottom w:val="0"/>
          <w:divBdr>
            <w:top w:val="none" w:sz="0" w:space="0" w:color="auto"/>
            <w:left w:val="none" w:sz="0" w:space="0" w:color="auto"/>
            <w:bottom w:val="none" w:sz="0" w:space="0" w:color="auto"/>
            <w:right w:val="none" w:sz="0" w:space="0" w:color="auto"/>
          </w:divBdr>
        </w:div>
        <w:div w:id="977686826">
          <w:marLeft w:val="446"/>
          <w:marRight w:val="0"/>
          <w:marTop w:val="0"/>
          <w:marBottom w:val="0"/>
          <w:divBdr>
            <w:top w:val="none" w:sz="0" w:space="0" w:color="auto"/>
            <w:left w:val="none" w:sz="0" w:space="0" w:color="auto"/>
            <w:bottom w:val="none" w:sz="0" w:space="0" w:color="auto"/>
            <w:right w:val="none" w:sz="0" w:space="0" w:color="auto"/>
          </w:divBdr>
        </w:div>
        <w:div w:id="1206484822">
          <w:marLeft w:val="446"/>
          <w:marRight w:val="0"/>
          <w:marTop w:val="0"/>
          <w:marBottom w:val="0"/>
          <w:divBdr>
            <w:top w:val="none" w:sz="0" w:space="0" w:color="auto"/>
            <w:left w:val="none" w:sz="0" w:space="0" w:color="auto"/>
            <w:bottom w:val="none" w:sz="0" w:space="0" w:color="auto"/>
            <w:right w:val="none" w:sz="0" w:space="0" w:color="auto"/>
          </w:divBdr>
        </w:div>
        <w:div w:id="1542278497">
          <w:marLeft w:val="446"/>
          <w:marRight w:val="0"/>
          <w:marTop w:val="0"/>
          <w:marBottom w:val="0"/>
          <w:divBdr>
            <w:top w:val="none" w:sz="0" w:space="0" w:color="auto"/>
            <w:left w:val="none" w:sz="0" w:space="0" w:color="auto"/>
            <w:bottom w:val="none" w:sz="0" w:space="0" w:color="auto"/>
            <w:right w:val="none" w:sz="0" w:space="0" w:color="auto"/>
          </w:divBdr>
        </w:div>
        <w:div w:id="1791361340">
          <w:marLeft w:val="446"/>
          <w:marRight w:val="0"/>
          <w:marTop w:val="0"/>
          <w:marBottom w:val="0"/>
          <w:divBdr>
            <w:top w:val="none" w:sz="0" w:space="0" w:color="auto"/>
            <w:left w:val="none" w:sz="0" w:space="0" w:color="auto"/>
            <w:bottom w:val="none" w:sz="0" w:space="0" w:color="auto"/>
            <w:right w:val="none" w:sz="0" w:space="0" w:color="auto"/>
          </w:divBdr>
        </w:div>
        <w:div w:id="1959020259">
          <w:marLeft w:val="446"/>
          <w:marRight w:val="0"/>
          <w:marTop w:val="0"/>
          <w:marBottom w:val="0"/>
          <w:divBdr>
            <w:top w:val="none" w:sz="0" w:space="0" w:color="auto"/>
            <w:left w:val="none" w:sz="0" w:space="0" w:color="auto"/>
            <w:bottom w:val="none" w:sz="0" w:space="0" w:color="auto"/>
            <w:right w:val="none" w:sz="0" w:space="0" w:color="auto"/>
          </w:divBdr>
        </w:div>
      </w:divsChild>
    </w:div>
    <w:div w:id="1483039526">
      <w:bodyDiv w:val="1"/>
      <w:marLeft w:val="0"/>
      <w:marRight w:val="0"/>
      <w:marTop w:val="0"/>
      <w:marBottom w:val="0"/>
      <w:divBdr>
        <w:top w:val="none" w:sz="0" w:space="0" w:color="auto"/>
        <w:left w:val="none" w:sz="0" w:space="0" w:color="auto"/>
        <w:bottom w:val="none" w:sz="0" w:space="0" w:color="auto"/>
        <w:right w:val="none" w:sz="0" w:space="0" w:color="auto"/>
      </w:divBdr>
      <w:divsChild>
        <w:div w:id="1367950540">
          <w:marLeft w:val="274"/>
          <w:marRight w:val="0"/>
          <w:marTop w:val="0"/>
          <w:marBottom w:val="0"/>
          <w:divBdr>
            <w:top w:val="none" w:sz="0" w:space="0" w:color="auto"/>
            <w:left w:val="none" w:sz="0" w:space="0" w:color="auto"/>
            <w:bottom w:val="none" w:sz="0" w:space="0" w:color="auto"/>
            <w:right w:val="none" w:sz="0" w:space="0" w:color="auto"/>
          </w:divBdr>
        </w:div>
      </w:divsChild>
    </w:div>
    <w:div w:id="1487939599">
      <w:bodyDiv w:val="1"/>
      <w:marLeft w:val="0"/>
      <w:marRight w:val="0"/>
      <w:marTop w:val="0"/>
      <w:marBottom w:val="0"/>
      <w:divBdr>
        <w:top w:val="none" w:sz="0" w:space="0" w:color="auto"/>
        <w:left w:val="none" w:sz="0" w:space="0" w:color="auto"/>
        <w:bottom w:val="none" w:sz="0" w:space="0" w:color="auto"/>
        <w:right w:val="none" w:sz="0" w:space="0" w:color="auto"/>
      </w:divBdr>
      <w:divsChild>
        <w:div w:id="421998764">
          <w:marLeft w:val="0"/>
          <w:marRight w:val="0"/>
          <w:marTop w:val="0"/>
          <w:marBottom w:val="0"/>
          <w:divBdr>
            <w:top w:val="none" w:sz="0" w:space="0" w:color="auto"/>
            <w:left w:val="none" w:sz="0" w:space="0" w:color="auto"/>
            <w:bottom w:val="none" w:sz="0" w:space="0" w:color="auto"/>
            <w:right w:val="none" w:sz="0" w:space="0" w:color="auto"/>
          </w:divBdr>
          <w:divsChild>
            <w:div w:id="1502306365">
              <w:marLeft w:val="0"/>
              <w:marRight w:val="0"/>
              <w:marTop w:val="0"/>
              <w:marBottom w:val="0"/>
              <w:divBdr>
                <w:top w:val="none" w:sz="0" w:space="0" w:color="auto"/>
                <w:left w:val="none" w:sz="0" w:space="0" w:color="auto"/>
                <w:bottom w:val="none" w:sz="0" w:space="0" w:color="auto"/>
                <w:right w:val="none" w:sz="0" w:space="0" w:color="auto"/>
              </w:divBdr>
              <w:divsChild>
                <w:div w:id="167646255">
                  <w:marLeft w:val="0"/>
                  <w:marRight w:val="0"/>
                  <w:marTop w:val="0"/>
                  <w:marBottom w:val="0"/>
                  <w:divBdr>
                    <w:top w:val="none" w:sz="0" w:space="0" w:color="auto"/>
                    <w:left w:val="none" w:sz="0" w:space="0" w:color="auto"/>
                    <w:bottom w:val="none" w:sz="0" w:space="0" w:color="auto"/>
                    <w:right w:val="none" w:sz="0" w:space="0" w:color="auto"/>
                  </w:divBdr>
                  <w:divsChild>
                    <w:div w:id="1584953353">
                      <w:marLeft w:val="0"/>
                      <w:marRight w:val="0"/>
                      <w:marTop w:val="0"/>
                      <w:marBottom w:val="0"/>
                      <w:divBdr>
                        <w:top w:val="none" w:sz="0" w:space="0" w:color="auto"/>
                        <w:left w:val="none" w:sz="0" w:space="0" w:color="auto"/>
                        <w:bottom w:val="none" w:sz="0" w:space="0" w:color="auto"/>
                        <w:right w:val="none" w:sz="0" w:space="0" w:color="auto"/>
                      </w:divBdr>
                      <w:divsChild>
                        <w:div w:id="1187403257">
                          <w:marLeft w:val="0"/>
                          <w:marRight w:val="0"/>
                          <w:marTop w:val="0"/>
                          <w:marBottom w:val="0"/>
                          <w:divBdr>
                            <w:top w:val="none" w:sz="0" w:space="0" w:color="auto"/>
                            <w:left w:val="none" w:sz="0" w:space="0" w:color="auto"/>
                            <w:bottom w:val="none" w:sz="0" w:space="0" w:color="auto"/>
                            <w:right w:val="none" w:sz="0" w:space="0" w:color="auto"/>
                          </w:divBdr>
                          <w:divsChild>
                            <w:div w:id="1358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29000">
      <w:bodyDiv w:val="1"/>
      <w:marLeft w:val="0"/>
      <w:marRight w:val="0"/>
      <w:marTop w:val="0"/>
      <w:marBottom w:val="0"/>
      <w:divBdr>
        <w:top w:val="none" w:sz="0" w:space="0" w:color="auto"/>
        <w:left w:val="none" w:sz="0" w:space="0" w:color="auto"/>
        <w:bottom w:val="none" w:sz="0" w:space="0" w:color="auto"/>
        <w:right w:val="none" w:sz="0" w:space="0" w:color="auto"/>
      </w:divBdr>
    </w:div>
    <w:div w:id="1507011752">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
    <w:div w:id="1524124615">
      <w:bodyDiv w:val="1"/>
      <w:marLeft w:val="0"/>
      <w:marRight w:val="0"/>
      <w:marTop w:val="0"/>
      <w:marBottom w:val="0"/>
      <w:divBdr>
        <w:top w:val="none" w:sz="0" w:space="0" w:color="auto"/>
        <w:left w:val="none" w:sz="0" w:space="0" w:color="auto"/>
        <w:bottom w:val="none" w:sz="0" w:space="0" w:color="auto"/>
        <w:right w:val="none" w:sz="0" w:space="0" w:color="auto"/>
      </w:divBdr>
    </w:div>
    <w:div w:id="1533765703">
      <w:bodyDiv w:val="1"/>
      <w:marLeft w:val="0"/>
      <w:marRight w:val="0"/>
      <w:marTop w:val="0"/>
      <w:marBottom w:val="0"/>
      <w:divBdr>
        <w:top w:val="none" w:sz="0" w:space="0" w:color="auto"/>
        <w:left w:val="none" w:sz="0" w:space="0" w:color="auto"/>
        <w:bottom w:val="none" w:sz="0" w:space="0" w:color="auto"/>
        <w:right w:val="none" w:sz="0" w:space="0" w:color="auto"/>
      </w:divBdr>
    </w:div>
    <w:div w:id="1549804795">
      <w:bodyDiv w:val="1"/>
      <w:marLeft w:val="0"/>
      <w:marRight w:val="0"/>
      <w:marTop w:val="0"/>
      <w:marBottom w:val="0"/>
      <w:divBdr>
        <w:top w:val="none" w:sz="0" w:space="0" w:color="auto"/>
        <w:left w:val="none" w:sz="0" w:space="0" w:color="auto"/>
        <w:bottom w:val="none" w:sz="0" w:space="0" w:color="auto"/>
        <w:right w:val="none" w:sz="0" w:space="0" w:color="auto"/>
      </w:divBdr>
      <w:divsChild>
        <w:div w:id="302319697">
          <w:marLeft w:val="274"/>
          <w:marRight w:val="0"/>
          <w:marTop w:val="0"/>
          <w:marBottom w:val="0"/>
          <w:divBdr>
            <w:top w:val="none" w:sz="0" w:space="0" w:color="auto"/>
            <w:left w:val="none" w:sz="0" w:space="0" w:color="auto"/>
            <w:bottom w:val="none" w:sz="0" w:space="0" w:color="auto"/>
            <w:right w:val="none" w:sz="0" w:space="0" w:color="auto"/>
          </w:divBdr>
        </w:div>
        <w:div w:id="489370989">
          <w:marLeft w:val="274"/>
          <w:marRight w:val="0"/>
          <w:marTop w:val="0"/>
          <w:marBottom w:val="0"/>
          <w:divBdr>
            <w:top w:val="none" w:sz="0" w:space="0" w:color="auto"/>
            <w:left w:val="none" w:sz="0" w:space="0" w:color="auto"/>
            <w:bottom w:val="none" w:sz="0" w:space="0" w:color="auto"/>
            <w:right w:val="none" w:sz="0" w:space="0" w:color="auto"/>
          </w:divBdr>
        </w:div>
        <w:div w:id="1055473441">
          <w:marLeft w:val="274"/>
          <w:marRight w:val="0"/>
          <w:marTop w:val="0"/>
          <w:marBottom w:val="0"/>
          <w:divBdr>
            <w:top w:val="none" w:sz="0" w:space="0" w:color="auto"/>
            <w:left w:val="none" w:sz="0" w:space="0" w:color="auto"/>
            <w:bottom w:val="none" w:sz="0" w:space="0" w:color="auto"/>
            <w:right w:val="none" w:sz="0" w:space="0" w:color="auto"/>
          </w:divBdr>
        </w:div>
        <w:div w:id="1188644915">
          <w:marLeft w:val="274"/>
          <w:marRight w:val="0"/>
          <w:marTop w:val="0"/>
          <w:marBottom w:val="0"/>
          <w:divBdr>
            <w:top w:val="none" w:sz="0" w:space="0" w:color="auto"/>
            <w:left w:val="none" w:sz="0" w:space="0" w:color="auto"/>
            <w:bottom w:val="none" w:sz="0" w:space="0" w:color="auto"/>
            <w:right w:val="none" w:sz="0" w:space="0" w:color="auto"/>
          </w:divBdr>
        </w:div>
        <w:div w:id="1439569006">
          <w:marLeft w:val="274"/>
          <w:marRight w:val="0"/>
          <w:marTop w:val="0"/>
          <w:marBottom w:val="0"/>
          <w:divBdr>
            <w:top w:val="none" w:sz="0" w:space="0" w:color="auto"/>
            <w:left w:val="none" w:sz="0" w:space="0" w:color="auto"/>
            <w:bottom w:val="none" w:sz="0" w:space="0" w:color="auto"/>
            <w:right w:val="none" w:sz="0" w:space="0" w:color="auto"/>
          </w:divBdr>
        </w:div>
      </w:divsChild>
    </w:div>
    <w:div w:id="1554348355">
      <w:bodyDiv w:val="1"/>
      <w:marLeft w:val="0"/>
      <w:marRight w:val="0"/>
      <w:marTop w:val="0"/>
      <w:marBottom w:val="0"/>
      <w:divBdr>
        <w:top w:val="none" w:sz="0" w:space="0" w:color="auto"/>
        <w:left w:val="none" w:sz="0" w:space="0" w:color="auto"/>
        <w:bottom w:val="none" w:sz="0" w:space="0" w:color="auto"/>
        <w:right w:val="none" w:sz="0" w:space="0" w:color="auto"/>
      </w:divBdr>
    </w:div>
    <w:div w:id="1574508835">
      <w:bodyDiv w:val="1"/>
      <w:marLeft w:val="0"/>
      <w:marRight w:val="0"/>
      <w:marTop w:val="0"/>
      <w:marBottom w:val="0"/>
      <w:divBdr>
        <w:top w:val="none" w:sz="0" w:space="0" w:color="auto"/>
        <w:left w:val="none" w:sz="0" w:space="0" w:color="auto"/>
        <w:bottom w:val="none" w:sz="0" w:space="0" w:color="auto"/>
        <w:right w:val="none" w:sz="0" w:space="0" w:color="auto"/>
      </w:divBdr>
    </w:div>
    <w:div w:id="1576159580">
      <w:bodyDiv w:val="1"/>
      <w:marLeft w:val="0"/>
      <w:marRight w:val="0"/>
      <w:marTop w:val="0"/>
      <w:marBottom w:val="0"/>
      <w:divBdr>
        <w:top w:val="none" w:sz="0" w:space="0" w:color="auto"/>
        <w:left w:val="none" w:sz="0" w:space="0" w:color="auto"/>
        <w:bottom w:val="none" w:sz="0" w:space="0" w:color="auto"/>
        <w:right w:val="none" w:sz="0" w:space="0" w:color="auto"/>
      </w:divBdr>
    </w:div>
    <w:div w:id="1586188612">
      <w:bodyDiv w:val="1"/>
      <w:marLeft w:val="0"/>
      <w:marRight w:val="0"/>
      <w:marTop w:val="0"/>
      <w:marBottom w:val="0"/>
      <w:divBdr>
        <w:top w:val="none" w:sz="0" w:space="0" w:color="auto"/>
        <w:left w:val="none" w:sz="0" w:space="0" w:color="auto"/>
        <w:bottom w:val="none" w:sz="0" w:space="0" w:color="auto"/>
        <w:right w:val="none" w:sz="0" w:space="0" w:color="auto"/>
      </w:divBdr>
    </w:div>
    <w:div w:id="1600407784">
      <w:bodyDiv w:val="1"/>
      <w:marLeft w:val="0"/>
      <w:marRight w:val="0"/>
      <w:marTop w:val="0"/>
      <w:marBottom w:val="0"/>
      <w:divBdr>
        <w:top w:val="none" w:sz="0" w:space="0" w:color="auto"/>
        <w:left w:val="none" w:sz="0" w:space="0" w:color="auto"/>
        <w:bottom w:val="none" w:sz="0" w:space="0" w:color="auto"/>
        <w:right w:val="none" w:sz="0" w:space="0" w:color="auto"/>
      </w:divBdr>
    </w:div>
    <w:div w:id="1614897744">
      <w:bodyDiv w:val="1"/>
      <w:marLeft w:val="0"/>
      <w:marRight w:val="0"/>
      <w:marTop w:val="0"/>
      <w:marBottom w:val="0"/>
      <w:divBdr>
        <w:top w:val="none" w:sz="0" w:space="0" w:color="auto"/>
        <w:left w:val="none" w:sz="0" w:space="0" w:color="auto"/>
        <w:bottom w:val="none" w:sz="0" w:space="0" w:color="auto"/>
        <w:right w:val="none" w:sz="0" w:space="0" w:color="auto"/>
      </w:divBdr>
    </w:div>
    <w:div w:id="1624074801">
      <w:bodyDiv w:val="1"/>
      <w:marLeft w:val="0"/>
      <w:marRight w:val="0"/>
      <w:marTop w:val="0"/>
      <w:marBottom w:val="0"/>
      <w:divBdr>
        <w:top w:val="none" w:sz="0" w:space="0" w:color="auto"/>
        <w:left w:val="none" w:sz="0" w:space="0" w:color="auto"/>
        <w:bottom w:val="none" w:sz="0" w:space="0" w:color="auto"/>
        <w:right w:val="none" w:sz="0" w:space="0" w:color="auto"/>
      </w:divBdr>
    </w:div>
    <w:div w:id="1631397827">
      <w:bodyDiv w:val="1"/>
      <w:marLeft w:val="0"/>
      <w:marRight w:val="0"/>
      <w:marTop w:val="0"/>
      <w:marBottom w:val="0"/>
      <w:divBdr>
        <w:top w:val="none" w:sz="0" w:space="0" w:color="auto"/>
        <w:left w:val="none" w:sz="0" w:space="0" w:color="auto"/>
        <w:bottom w:val="none" w:sz="0" w:space="0" w:color="auto"/>
        <w:right w:val="none" w:sz="0" w:space="0" w:color="auto"/>
      </w:divBdr>
    </w:div>
    <w:div w:id="1631864624">
      <w:bodyDiv w:val="1"/>
      <w:marLeft w:val="0"/>
      <w:marRight w:val="0"/>
      <w:marTop w:val="0"/>
      <w:marBottom w:val="0"/>
      <w:divBdr>
        <w:top w:val="none" w:sz="0" w:space="0" w:color="auto"/>
        <w:left w:val="none" w:sz="0" w:space="0" w:color="auto"/>
        <w:bottom w:val="none" w:sz="0" w:space="0" w:color="auto"/>
        <w:right w:val="none" w:sz="0" w:space="0" w:color="auto"/>
      </w:divBdr>
    </w:div>
    <w:div w:id="1642660350">
      <w:bodyDiv w:val="1"/>
      <w:marLeft w:val="0"/>
      <w:marRight w:val="0"/>
      <w:marTop w:val="0"/>
      <w:marBottom w:val="0"/>
      <w:divBdr>
        <w:top w:val="none" w:sz="0" w:space="0" w:color="auto"/>
        <w:left w:val="none" w:sz="0" w:space="0" w:color="auto"/>
        <w:bottom w:val="none" w:sz="0" w:space="0" w:color="auto"/>
        <w:right w:val="none" w:sz="0" w:space="0" w:color="auto"/>
      </w:divBdr>
      <w:divsChild>
        <w:div w:id="1354723759">
          <w:marLeft w:val="274"/>
          <w:marRight w:val="0"/>
          <w:marTop w:val="60"/>
          <w:marBottom w:val="60"/>
          <w:divBdr>
            <w:top w:val="none" w:sz="0" w:space="0" w:color="auto"/>
            <w:left w:val="none" w:sz="0" w:space="0" w:color="auto"/>
            <w:bottom w:val="none" w:sz="0" w:space="0" w:color="auto"/>
            <w:right w:val="none" w:sz="0" w:space="0" w:color="auto"/>
          </w:divBdr>
        </w:div>
      </w:divsChild>
    </w:div>
    <w:div w:id="1642807938">
      <w:bodyDiv w:val="1"/>
      <w:marLeft w:val="0"/>
      <w:marRight w:val="0"/>
      <w:marTop w:val="0"/>
      <w:marBottom w:val="0"/>
      <w:divBdr>
        <w:top w:val="none" w:sz="0" w:space="0" w:color="auto"/>
        <w:left w:val="none" w:sz="0" w:space="0" w:color="auto"/>
        <w:bottom w:val="none" w:sz="0" w:space="0" w:color="auto"/>
        <w:right w:val="none" w:sz="0" w:space="0" w:color="auto"/>
      </w:divBdr>
    </w:div>
    <w:div w:id="1658073138">
      <w:bodyDiv w:val="1"/>
      <w:marLeft w:val="0"/>
      <w:marRight w:val="0"/>
      <w:marTop w:val="0"/>
      <w:marBottom w:val="0"/>
      <w:divBdr>
        <w:top w:val="none" w:sz="0" w:space="0" w:color="auto"/>
        <w:left w:val="none" w:sz="0" w:space="0" w:color="auto"/>
        <w:bottom w:val="none" w:sz="0" w:space="0" w:color="auto"/>
        <w:right w:val="none" w:sz="0" w:space="0" w:color="auto"/>
      </w:divBdr>
    </w:div>
    <w:div w:id="1664122257">
      <w:bodyDiv w:val="1"/>
      <w:marLeft w:val="0"/>
      <w:marRight w:val="0"/>
      <w:marTop w:val="0"/>
      <w:marBottom w:val="0"/>
      <w:divBdr>
        <w:top w:val="none" w:sz="0" w:space="0" w:color="auto"/>
        <w:left w:val="none" w:sz="0" w:space="0" w:color="auto"/>
        <w:bottom w:val="none" w:sz="0" w:space="0" w:color="auto"/>
        <w:right w:val="none" w:sz="0" w:space="0" w:color="auto"/>
      </w:divBdr>
    </w:div>
    <w:div w:id="1720473223">
      <w:bodyDiv w:val="1"/>
      <w:marLeft w:val="0"/>
      <w:marRight w:val="0"/>
      <w:marTop w:val="0"/>
      <w:marBottom w:val="0"/>
      <w:divBdr>
        <w:top w:val="none" w:sz="0" w:space="0" w:color="auto"/>
        <w:left w:val="none" w:sz="0" w:space="0" w:color="auto"/>
        <w:bottom w:val="none" w:sz="0" w:space="0" w:color="auto"/>
        <w:right w:val="none" w:sz="0" w:space="0" w:color="auto"/>
      </w:divBdr>
    </w:div>
    <w:div w:id="1743404816">
      <w:bodyDiv w:val="1"/>
      <w:marLeft w:val="0"/>
      <w:marRight w:val="0"/>
      <w:marTop w:val="0"/>
      <w:marBottom w:val="0"/>
      <w:divBdr>
        <w:top w:val="none" w:sz="0" w:space="0" w:color="auto"/>
        <w:left w:val="none" w:sz="0" w:space="0" w:color="auto"/>
        <w:bottom w:val="none" w:sz="0" w:space="0" w:color="auto"/>
        <w:right w:val="none" w:sz="0" w:space="0" w:color="auto"/>
      </w:divBdr>
    </w:div>
    <w:div w:id="1753700757">
      <w:bodyDiv w:val="1"/>
      <w:marLeft w:val="0"/>
      <w:marRight w:val="0"/>
      <w:marTop w:val="0"/>
      <w:marBottom w:val="0"/>
      <w:divBdr>
        <w:top w:val="none" w:sz="0" w:space="0" w:color="auto"/>
        <w:left w:val="none" w:sz="0" w:space="0" w:color="auto"/>
        <w:bottom w:val="none" w:sz="0" w:space="0" w:color="auto"/>
        <w:right w:val="none" w:sz="0" w:space="0" w:color="auto"/>
      </w:divBdr>
    </w:div>
    <w:div w:id="1772508187">
      <w:bodyDiv w:val="1"/>
      <w:marLeft w:val="0"/>
      <w:marRight w:val="0"/>
      <w:marTop w:val="0"/>
      <w:marBottom w:val="0"/>
      <w:divBdr>
        <w:top w:val="none" w:sz="0" w:space="0" w:color="auto"/>
        <w:left w:val="none" w:sz="0" w:space="0" w:color="auto"/>
        <w:bottom w:val="none" w:sz="0" w:space="0" w:color="auto"/>
        <w:right w:val="none" w:sz="0" w:space="0" w:color="auto"/>
      </w:divBdr>
    </w:div>
    <w:div w:id="1792286914">
      <w:bodyDiv w:val="1"/>
      <w:marLeft w:val="0"/>
      <w:marRight w:val="0"/>
      <w:marTop w:val="0"/>
      <w:marBottom w:val="0"/>
      <w:divBdr>
        <w:top w:val="none" w:sz="0" w:space="0" w:color="auto"/>
        <w:left w:val="none" w:sz="0" w:space="0" w:color="auto"/>
        <w:bottom w:val="none" w:sz="0" w:space="0" w:color="auto"/>
        <w:right w:val="none" w:sz="0" w:space="0" w:color="auto"/>
      </w:divBdr>
    </w:div>
    <w:div w:id="1804420396">
      <w:bodyDiv w:val="1"/>
      <w:marLeft w:val="0"/>
      <w:marRight w:val="0"/>
      <w:marTop w:val="0"/>
      <w:marBottom w:val="0"/>
      <w:divBdr>
        <w:top w:val="none" w:sz="0" w:space="0" w:color="auto"/>
        <w:left w:val="none" w:sz="0" w:space="0" w:color="auto"/>
        <w:bottom w:val="none" w:sz="0" w:space="0" w:color="auto"/>
        <w:right w:val="none" w:sz="0" w:space="0" w:color="auto"/>
      </w:divBdr>
    </w:div>
    <w:div w:id="1812332708">
      <w:bodyDiv w:val="1"/>
      <w:marLeft w:val="0"/>
      <w:marRight w:val="0"/>
      <w:marTop w:val="0"/>
      <w:marBottom w:val="0"/>
      <w:divBdr>
        <w:top w:val="none" w:sz="0" w:space="0" w:color="auto"/>
        <w:left w:val="none" w:sz="0" w:space="0" w:color="auto"/>
        <w:bottom w:val="none" w:sz="0" w:space="0" w:color="auto"/>
        <w:right w:val="none" w:sz="0" w:space="0" w:color="auto"/>
      </w:divBdr>
    </w:div>
    <w:div w:id="1826238689">
      <w:bodyDiv w:val="1"/>
      <w:marLeft w:val="0"/>
      <w:marRight w:val="0"/>
      <w:marTop w:val="0"/>
      <w:marBottom w:val="0"/>
      <w:divBdr>
        <w:top w:val="none" w:sz="0" w:space="0" w:color="auto"/>
        <w:left w:val="none" w:sz="0" w:space="0" w:color="auto"/>
        <w:bottom w:val="none" w:sz="0" w:space="0" w:color="auto"/>
        <w:right w:val="none" w:sz="0" w:space="0" w:color="auto"/>
      </w:divBdr>
      <w:divsChild>
        <w:div w:id="1470704409">
          <w:marLeft w:val="274"/>
          <w:marRight w:val="0"/>
          <w:marTop w:val="0"/>
          <w:marBottom w:val="0"/>
          <w:divBdr>
            <w:top w:val="none" w:sz="0" w:space="0" w:color="auto"/>
            <w:left w:val="none" w:sz="0" w:space="0" w:color="auto"/>
            <w:bottom w:val="none" w:sz="0" w:space="0" w:color="auto"/>
            <w:right w:val="none" w:sz="0" w:space="0" w:color="auto"/>
          </w:divBdr>
        </w:div>
      </w:divsChild>
    </w:div>
    <w:div w:id="1848639690">
      <w:bodyDiv w:val="1"/>
      <w:marLeft w:val="0"/>
      <w:marRight w:val="0"/>
      <w:marTop w:val="0"/>
      <w:marBottom w:val="0"/>
      <w:divBdr>
        <w:top w:val="none" w:sz="0" w:space="0" w:color="auto"/>
        <w:left w:val="none" w:sz="0" w:space="0" w:color="auto"/>
        <w:bottom w:val="none" w:sz="0" w:space="0" w:color="auto"/>
        <w:right w:val="none" w:sz="0" w:space="0" w:color="auto"/>
      </w:divBdr>
    </w:div>
    <w:div w:id="1861896400">
      <w:bodyDiv w:val="1"/>
      <w:marLeft w:val="0"/>
      <w:marRight w:val="0"/>
      <w:marTop w:val="0"/>
      <w:marBottom w:val="0"/>
      <w:divBdr>
        <w:top w:val="none" w:sz="0" w:space="0" w:color="auto"/>
        <w:left w:val="none" w:sz="0" w:space="0" w:color="auto"/>
        <w:bottom w:val="none" w:sz="0" w:space="0" w:color="auto"/>
        <w:right w:val="none" w:sz="0" w:space="0" w:color="auto"/>
      </w:divBdr>
    </w:div>
    <w:div w:id="1877346791">
      <w:bodyDiv w:val="1"/>
      <w:marLeft w:val="0"/>
      <w:marRight w:val="0"/>
      <w:marTop w:val="0"/>
      <w:marBottom w:val="0"/>
      <w:divBdr>
        <w:top w:val="none" w:sz="0" w:space="0" w:color="auto"/>
        <w:left w:val="none" w:sz="0" w:space="0" w:color="auto"/>
        <w:bottom w:val="none" w:sz="0" w:space="0" w:color="auto"/>
        <w:right w:val="none" w:sz="0" w:space="0" w:color="auto"/>
      </w:divBdr>
    </w:div>
    <w:div w:id="1895314525">
      <w:bodyDiv w:val="1"/>
      <w:marLeft w:val="0"/>
      <w:marRight w:val="0"/>
      <w:marTop w:val="0"/>
      <w:marBottom w:val="0"/>
      <w:divBdr>
        <w:top w:val="none" w:sz="0" w:space="0" w:color="auto"/>
        <w:left w:val="none" w:sz="0" w:space="0" w:color="auto"/>
        <w:bottom w:val="none" w:sz="0" w:space="0" w:color="auto"/>
        <w:right w:val="none" w:sz="0" w:space="0" w:color="auto"/>
      </w:divBdr>
    </w:div>
    <w:div w:id="1911651458">
      <w:bodyDiv w:val="1"/>
      <w:marLeft w:val="0"/>
      <w:marRight w:val="0"/>
      <w:marTop w:val="0"/>
      <w:marBottom w:val="0"/>
      <w:divBdr>
        <w:top w:val="none" w:sz="0" w:space="0" w:color="auto"/>
        <w:left w:val="none" w:sz="0" w:space="0" w:color="auto"/>
        <w:bottom w:val="none" w:sz="0" w:space="0" w:color="auto"/>
        <w:right w:val="none" w:sz="0" w:space="0" w:color="auto"/>
      </w:divBdr>
    </w:div>
    <w:div w:id="1923759256">
      <w:bodyDiv w:val="1"/>
      <w:marLeft w:val="0"/>
      <w:marRight w:val="0"/>
      <w:marTop w:val="0"/>
      <w:marBottom w:val="0"/>
      <w:divBdr>
        <w:top w:val="none" w:sz="0" w:space="0" w:color="auto"/>
        <w:left w:val="none" w:sz="0" w:space="0" w:color="auto"/>
        <w:bottom w:val="none" w:sz="0" w:space="0" w:color="auto"/>
        <w:right w:val="none" w:sz="0" w:space="0" w:color="auto"/>
      </w:divBdr>
      <w:divsChild>
        <w:div w:id="1696268568">
          <w:marLeft w:val="274"/>
          <w:marRight w:val="0"/>
          <w:marTop w:val="0"/>
          <w:marBottom w:val="0"/>
          <w:divBdr>
            <w:top w:val="none" w:sz="0" w:space="0" w:color="auto"/>
            <w:left w:val="none" w:sz="0" w:space="0" w:color="auto"/>
            <w:bottom w:val="none" w:sz="0" w:space="0" w:color="auto"/>
            <w:right w:val="none" w:sz="0" w:space="0" w:color="auto"/>
          </w:divBdr>
        </w:div>
        <w:div w:id="1940869442">
          <w:marLeft w:val="274"/>
          <w:marRight w:val="0"/>
          <w:marTop w:val="0"/>
          <w:marBottom w:val="0"/>
          <w:divBdr>
            <w:top w:val="none" w:sz="0" w:space="0" w:color="auto"/>
            <w:left w:val="none" w:sz="0" w:space="0" w:color="auto"/>
            <w:bottom w:val="none" w:sz="0" w:space="0" w:color="auto"/>
            <w:right w:val="none" w:sz="0" w:space="0" w:color="auto"/>
          </w:divBdr>
        </w:div>
      </w:divsChild>
    </w:div>
    <w:div w:id="1926915927">
      <w:bodyDiv w:val="1"/>
      <w:marLeft w:val="0"/>
      <w:marRight w:val="0"/>
      <w:marTop w:val="0"/>
      <w:marBottom w:val="0"/>
      <w:divBdr>
        <w:top w:val="none" w:sz="0" w:space="0" w:color="auto"/>
        <w:left w:val="none" w:sz="0" w:space="0" w:color="auto"/>
        <w:bottom w:val="none" w:sz="0" w:space="0" w:color="auto"/>
        <w:right w:val="none" w:sz="0" w:space="0" w:color="auto"/>
      </w:divBdr>
    </w:div>
    <w:div w:id="1936670256">
      <w:bodyDiv w:val="1"/>
      <w:marLeft w:val="0"/>
      <w:marRight w:val="0"/>
      <w:marTop w:val="0"/>
      <w:marBottom w:val="0"/>
      <w:divBdr>
        <w:top w:val="none" w:sz="0" w:space="0" w:color="auto"/>
        <w:left w:val="none" w:sz="0" w:space="0" w:color="auto"/>
        <w:bottom w:val="none" w:sz="0" w:space="0" w:color="auto"/>
        <w:right w:val="none" w:sz="0" w:space="0" w:color="auto"/>
      </w:divBdr>
    </w:div>
    <w:div w:id="1942060584">
      <w:bodyDiv w:val="1"/>
      <w:marLeft w:val="0"/>
      <w:marRight w:val="0"/>
      <w:marTop w:val="0"/>
      <w:marBottom w:val="0"/>
      <w:divBdr>
        <w:top w:val="none" w:sz="0" w:space="0" w:color="auto"/>
        <w:left w:val="none" w:sz="0" w:space="0" w:color="auto"/>
        <w:bottom w:val="none" w:sz="0" w:space="0" w:color="auto"/>
        <w:right w:val="none" w:sz="0" w:space="0" w:color="auto"/>
      </w:divBdr>
    </w:div>
    <w:div w:id="1947883080">
      <w:bodyDiv w:val="1"/>
      <w:marLeft w:val="0"/>
      <w:marRight w:val="0"/>
      <w:marTop w:val="0"/>
      <w:marBottom w:val="0"/>
      <w:divBdr>
        <w:top w:val="none" w:sz="0" w:space="0" w:color="auto"/>
        <w:left w:val="none" w:sz="0" w:space="0" w:color="auto"/>
        <w:bottom w:val="none" w:sz="0" w:space="0" w:color="auto"/>
        <w:right w:val="none" w:sz="0" w:space="0" w:color="auto"/>
      </w:divBdr>
    </w:div>
    <w:div w:id="1955405962">
      <w:bodyDiv w:val="1"/>
      <w:marLeft w:val="0"/>
      <w:marRight w:val="0"/>
      <w:marTop w:val="0"/>
      <w:marBottom w:val="0"/>
      <w:divBdr>
        <w:top w:val="none" w:sz="0" w:space="0" w:color="auto"/>
        <w:left w:val="none" w:sz="0" w:space="0" w:color="auto"/>
        <w:bottom w:val="none" w:sz="0" w:space="0" w:color="auto"/>
        <w:right w:val="none" w:sz="0" w:space="0" w:color="auto"/>
      </w:divBdr>
    </w:div>
    <w:div w:id="1965768333">
      <w:bodyDiv w:val="1"/>
      <w:marLeft w:val="0"/>
      <w:marRight w:val="0"/>
      <w:marTop w:val="0"/>
      <w:marBottom w:val="0"/>
      <w:divBdr>
        <w:top w:val="none" w:sz="0" w:space="0" w:color="auto"/>
        <w:left w:val="none" w:sz="0" w:space="0" w:color="auto"/>
        <w:bottom w:val="none" w:sz="0" w:space="0" w:color="auto"/>
        <w:right w:val="none" w:sz="0" w:space="0" w:color="auto"/>
      </w:divBdr>
    </w:div>
    <w:div w:id="1970239344">
      <w:bodyDiv w:val="1"/>
      <w:marLeft w:val="0"/>
      <w:marRight w:val="0"/>
      <w:marTop w:val="0"/>
      <w:marBottom w:val="0"/>
      <w:divBdr>
        <w:top w:val="none" w:sz="0" w:space="0" w:color="auto"/>
        <w:left w:val="none" w:sz="0" w:space="0" w:color="auto"/>
        <w:bottom w:val="none" w:sz="0" w:space="0" w:color="auto"/>
        <w:right w:val="none" w:sz="0" w:space="0" w:color="auto"/>
      </w:divBdr>
      <w:divsChild>
        <w:div w:id="13844095">
          <w:marLeft w:val="274"/>
          <w:marRight w:val="0"/>
          <w:marTop w:val="0"/>
          <w:marBottom w:val="0"/>
          <w:divBdr>
            <w:top w:val="none" w:sz="0" w:space="0" w:color="auto"/>
            <w:left w:val="none" w:sz="0" w:space="0" w:color="auto"/>
            <w:bottom w:val="none" w:sz="0" w:space="0" w:color="auto"/>
            <w:right w:val="none" w:sz="0" w:space="0" w:color="auto"/>
          </w:divBdr>
        </w:div>
        <w:div w:id="67311478">
          <w:marLeft w:val="274"/>
          <w:marRight w:val="0"/>
          <w:marTop w:val="0"/>
          <w:marBottom w:val="0"/>
          <w:divBdr>
            <w:top w:val="none" w:sz="0" w:space="0" w:color="auto"/>
            <w:left w:val="none" w:sz="0" w:space="0" w:color="auto"/>
            <w:bottom w:val="none" w:sz="0" w:space="0" w:color="auto"/>
            <w:right w:val="none" w:sz="0" w:space="0" w:color="auto"/>
          </w:divBdr>
        </w:div>
        <w:div w:id="190999061">
          <w:marLeft w:val="274"/>
          <w:marRight w:val="0"/>
          <w:marTop w:val="0"/>
          <w:marBottom w:val="0"/>
          <w:divBdr>
            <w:top w:val="none" w:sz="0" w:space="0" w:color="auto"/>
            <w:left w:val="none" w:sz="0" w:space="0" w:color="auto"/>
            <w:bottom w:val="none" w:sz="0" w:space="0" w:color="auto"/>
            <w:right w:val="none" w:sz="0" w:space="0" w:color="auto"/>
          </w:divBdr>
        </w:div>
        <w:div w:id="301423137">
          <w:marLeft w:val="274"/>
          <w:marRight w:val="0"/>
          <w:marTop w:val="0"/>
          <w:marBottom w:val="0"/>
          <w:divBdr>
            <w:top w:val="none" w:sz="0" w:space="0" w:color="auto"/>
            <w:left w:val="none" w:sz="0" w:space="0" w:color="auto"/>
            <w:bottom w:val="none" w:sz="0" w:space="0" w:color="auto"/>
            <w:right w:val="none" w:sz="0" w:space="0" w:color="auto"/>
          </w:divBdr>
        </w:div>
        <w:div w:id="323053632">
          <w:marLeft w:val="274"/>
          <w:marRight w:val="0"/>
          <w:marTop w:val="0"/>
          <w:marBottom w:val="0"/>
          <w:divBdr>
            <w:top w:val="none" w:sz="0" w:space="0" w:color="auto"/>
            <w:left w:val="none" w:sz="0" w:space="0" w:color="auto"/>
            <w:bottom w:val="none" w:sz="0" w:space="0" w:color="auto"/>
            <w:right w:val="none" w:sz="0" w:space="0" w:color="auto"/>
          </w:divBdr>
        </w:div>
        <w:div w:id="357895166">
          <w:marLeft w:val="274"/>
          <w:marRight w:val="0"/>
          <w:marTop w:val="0"/>
          <w:marBottom w:val="0"/>
          <w:divBdr>
            <w:top w:val="none" w:sz="0" w:space="0" w:color="auto"/>
            <w:left w:val="none" w:sz="0" w:space="0" w:color="auto"/>
            <w:bottom w:val="none" w:sz="0" w:space="0" w:color="auto"/>
            <w:right w:val="none" w:sz="0" w:space="0" w:color="auto"/>
          </w:divBdr>
        </w:div>
        <w:div w:id="414014371">
          <w:marLeft w:val="274"/>
          <w:marRight w:val="0"/>
          <w:marTop w:val="0"/>
          <w:marBottom w:val="0"/>
          <w:divBdr>
            <w:top w:val="none" w:sz="0" w:space="0" w:color="auto"/>
            <w:left w:val="none" w:sz="0" w:space="0" w:color="auto"/>
            <w:bottom w:val="none" w:sz="0" w:space="0" w:color="auto"/>
            <w:right w:val="none" w:sz="0" w:space="0" w:color="auto"/>
          </w:divBdr>
        </w:div>
        <w:div w:id="424764284">
          <w:marLeft w:val="274"/>
          <w:marRight w:val="0"/>
          <w:marTop w:val="0"/>
          <w:marBottom w:val="0"/>
          <w:divBdr>
            <w:top w:val="none" w:sz="0" w:space="0" w:color="auto"/>
            <w:left w:val="none" w:sz="0" w:space="0" w:color="auto"/>
            <w:bottom w:val="none" w:sz="0" w:space="0" w:color="auto"/>
            <w:right w:val="none" w:sz="0" w:space="0" w:color="auto"/>
          </w:divBdr>
        </w:div>
        <w:div w:id="481965272">
          <w:marLeft w:val="274"/>
          <w:marRight w:val="0"/>
          <w:marTop w:val="0"/>
          <w:marBottom w:val="0"/>
          <w:divBdr>
            <w:top w:val="none" w:sz="0" w:space="0" w:color="auto"/>
            <w:left w:val="none" w:sz="0" w:space="0" w:color="auto"/>
            <w:bottom w:val="none" w:sz="0" w:space="0" w:color="auto"/>
            <w:right w:val="none" w:sz="0" w:space="0" w:color="auto"/>
          </w:divBdr>
        </w:div>
        <w:div w:id="667637312">
          <w:marLeft w:val="274"/>
          <w:marRight w:val="0"/>
          <w:marTop w:val="0"/>
          <w:marBottom w:val="0"/>
          <w:divBdr>
            <w:top w:val="none" w:sz="0" w:space="0" w:color="auto"/>
            <w:left w:val="none" w:sz="0" w:space="0" w:color="auto"/>
            <w:bottom w:val="none" w:sz="0" w:space="0" w:color="auto"/>
            <w:right w:val="none" w:sz="0" w:space="0" w:color="auto"/>
          </w:divBdr>
        </w:div>
        <w:div w:id="670717139">
          <w:marLeft w:val="274"/>
          <w:marRight w:val="0"/>
          <w:marTop w:val="0"/>
          <w:marBottom w:val="0"/>
          <w:divBdr>
            <w:top w:val="none" w:sz="0" w:space="0" w:color="auto"/>
            <w:left w:val="none" w:sz="0" w:space="0" w:color="auto"/>
            <w:bottom w:val="none" w:sz="0" w:space="0" w:color="auto"/>
            <w:right w:val="none" w:sz="0" w:space="0" w:color="auto"/>
          </w:divBdr>
        </w:div>
        <w:div w:id="790395797">
          <w:marLeft w:val="274"/>
          <w:marRight w:val="0"/>
          <w:marTop w:val="0"/>
          <w:marBottom w:val="0"/>
          <w:divBdr>
            <w:top w:val="none" w:sz="0" w:space="0" w:color="auto"/>
            <w:left w:val="none" w:sz="0" w:space="0" w:color="auto"/>
            <w:bottom w:val="none" w:sz="0" w:space="0" w:color="auto"/>
            <w:right w:val="none" w:sz="0" w:space="0" w:color="auto"/>
          </w:divBdr>
        </w:div>
        <w:div w:id="825820040">
          <w:marLeft w:val="274"/>
          <w:marRight w:val="0"/>
          <w:marTop w:val="0"/>
          <w:marBottom w:val="0"/>
          <w:divBdr>
            <w:top w:val="none" w:sz="0" w:space="0" w:color="auto"/>
            <w:left w:val="none" w:sz="0" w:space="0" w:color="auto"/>
            <w:bottom w:val="none" w:sz="0" w:space="0" w:color="auto"/>
            <w:right w:val="none" w:sz="0" w:space="0" w:color="auto"/>
          </w:divBdr>
        </w:div>
        <w:div w:id="952521423">
          <w:marLeft w:val="274"/>
          <w:marRight w:val="0"/>
          <w:marTop w:val="0"/>
          <w:marBottom w:val="0"/>
          <w:divBdr>
            <w:top w:val="none" w:sz="0" w:space="0" w:color="auto"/>
            <w:left w:val="none" w:sz="0" w:space="0" w:color="auto"/>
            <w:bottom w:val="none" w:sz="0" w:space="0" w:color="auto"/>
            <w:right w:val="none" w:sz="0" w:space="0" w:color="auto"/>
          </w:divBdr>
        </w:div>
        <w:div w:id="979653895">
          <w:marLeft w:val="274"/>
          <w:marRight w:val="0"/>
          <w:marTop w:val="0"/>
          <w:marBottom w:val="0"/>
          <w:divBdr>
            <w:top w:val="none" w:sz="0" w:space="0" w:color="auto"/>
            <w:left w:val="none" w:sz="0" w:space="0" w:color="auto"/>
            <w:bottom w:val="none" w:sz="0" w:space="0" w:color="auto"/>
            <w:right w:val="none" w:sz="0" w:space="0" w:color="auto"/>
          </w:divBdr>
        </w:div>
        <w:div w:id="988485696">
          <w:marLeft w:val="274"/>
          <w:marRight w:val="0"/>
          <w:marTop w:val="0"/>
          <w:marBottom w:val="0"/>
          <w:divBdr>
            <w:top w:val="none" w:sz="0" w:space="0" w:color="auto"/>
            <w:left w:val="none" w:sz="0" w:space="0" w:color="auto"/>
            <w:bottom w:val="none" w:sz="0" w:space="0" w:color="auto"/>
            <w:right w:val="none" w:sz="0" w:space="0" w:color="auto"/>
          </w:divBdr>
        </w:div>
        <w:div w:id="1084955173">
          <w:marLeft w:val="274"/>
          <w:marRight w:val="0"/>
          <w:marTop w:val="0"/>
          <w:marBottom w:val="0"/>
          <w:divBdr>
            <w:top w:val="none" w:sz="0" w:space="0" w:color="auto"/>
            <w:left w:val="none" w:sz="0" w:space="0" w:color="auto"/>
            <w:bottom w:val="none" w:sz="0" w:space="0" w:color="auto"/>
            <w:right w:val="none" w:sz="0" w:space="0" w:color="auto"/>
          </w:divBdr>
        </w:div>
        <w:div w:id="1167943710">
          <w:marLeft w:val="274"/>
          <w:marRight w:val="0"/>
          <w:marTop w:val="0"/>
          <w:marBottom w:val="0"/>
          <w:divBdr>
            <w:top w:val="none" w:sz="0" w:space="0" w:color="auto"/>
            <w:left w:val="none" w:sz="0" w:space="0" w:color="auto"/>
            <w:bottom w:val="none" w:sz="0" w:space="0" w:color="auto"/>
            <w:right w:val="none" w:sz="0" w:space="0" w:color="auto"/>
          </w:divBdr>
        </w:div>
        <w:div w:id="1243758145">
          <w:marLeft w:val="274"/>
          <w:marRight w:val="0"/>
          <w:marTop w:val="0"/>
          <w:marBottom w:val="0"/>
          <w:divBdr>
            <w:top w:val="none" w:sz="0" w:space="0" w:color="auto"/>
            <w:left w:val="none" w:sz="0" w:space="0" w:color="auto"/>
            <w:bottom w:val="none" w:sz="0" w:space="0" w:color="auto"/>
            <w:right w:val="none" w:sz="0" w:space="0" w:color="auto"/>
          </w:divBdr>
        </w:div>
        <w:div w:id="1276985325">
          <w:marLeft w:val="274"/>
          <w:marRight w:val="0"/>
          <w:marTop w:val="0"/>
          <w:marBottom w:val="0"/>
          <w:divBdr>
            <w:top w:val="none" w:sz="0" w:space="0" w:color="auto"/>
            <w:left w:val="none" w:sz="0" w:space="0" w:color="auto"/>
            <w:bottom w:val="none" w:sz="0" w:space="0" w:color="auto"/>
            <w:right w:val="none" w:sz="0" w:space="0" w:color="auto"/>
          </w:divBdr>
        </w:div>
        <w:div w:id="1365515855">
          <w:marLeft w:val="274"/>
          <w:marRight w:val="0"/>
          <w:marTop w:val="0"/>
          <w:marBottom w:val="0"/>
          <w:divBdr>
            <w:top w:val="none" w:sz="0" w:space="0" w:color="auto"/>
            <w:left w:val="none" w:sz="0" w:space="0" w:color="auto"/>
            <w:bottom w:val="none" w:sz="0" w:space="0" w:color="auto"/>
            <w:right w:val="none" w:sz="0" w:space="0" w:color="auto"/>
          </w:divBdr>
        </w:div>
        <w:div w:id="1412386045">
          <w:marLeft w:val="274"/>
          <w:marRight w:val="0"/>
          <w:marTop w:val="0"/>
          <w:marBottom w:val="0"/>
          <w:divBdr>
            <w:top w:val="none" w:sz="0" w:space="0" w:color="auto"/>
            <w:left w:val="none" w:sz="0" w:space="0" w:color="auto"/>
            <w:bottom w:val="none" w:sz="0" w:space="0" w:color="auto"/>
            <w:right w:val="none" w:sz="0" w:space="0" w:color="auto"/>
          </w:divBdr>
        </w:div>
        <w:div w:id="1452289241">
          <w:marLeft w:val="274"/>
          <w:marRight w:val="0"/>
          <w:marTop w:val="0"/>
          <w:marBottom w:val="0"/>
          <w:divBdr>
            <w:top w:val="none" w:sz="0" w:space="0" w:color="auto"/>
            <w:left w:val="none" w:sz="0" w:space="0" w:color="auto"/>
            <w:bottom w:val="none" w:sz="0" w:space="0" w:color="auto"/>
            <w:right w:val="none" w:sz="0" w:space="0" w:color="auto"/>
          </w:divBdr>
        </w:div>
        <w:div w:id="1493136359">
          <w:marLeft w:val="274"/>
          <w:marRight w:val="0"/>
          <w:marTop w:val="0"/>
          <w:marBottom w:val="0"/>
          <w:divBdr>
            <w:top w:val="none" w:sz="0" w:space="0" w:color="auto"/>
            <w:left w:val="none" w:sz="0" w:space="0" w:color="auto"/>
            <w:bottom w:val="none" w:sz="0" w:space="0" w:color="auto"/>
            <w:right w:val="none" w:sz="0" w:space="0" w:color="auto"/>
          </w:divBdr>
        </w:div>
        <w:div w:id="1495947790">
          <w:marLeft w:val="274"/>
          <w:marRight w:val="0"/>
          <w:marTop w:val="0"/>
          <w:marBottom w:val="0"/>
          <w:divBdr>
            <w:top w:val="none" w:sz="0" w:space="0" w:color="auto"/>
            <w:left w:val="none" w:sz="0" w:space="0" w:color="auto"/>
            <w:bottom w:val="none" w:sz="0" w:space="0" w:color="auto"/>
            <w:right w:val="none" w:sz="0" w:space="0" w:color="auto"/>
          </w:divBdr>
        </w:div>
        <w:div w:id="1596279113">
          <w:marLeft w:val="274"/>
          <w:marRight w:val="0"/>
          <w:marTop w:val="0"/>
          <w:marBottom w:val="0"/>
          <w:divBdr>
            <w:top w:val="none" w:sz="0" w:space="0" w:color="auto"/>
            <w:left w:val="none" w:sz="0" w:space="0" w:color="auto"/>
            <w:bottom w:val="none" w:sz="0" w:space="0" w:color="auto"/>
            <w:right w:val="none" w:sz="0" w:space="0" w:color="auto"/>
          </w:divBdr>
        </w:div>
        <w:div w:id="1710253744">
          <w:marLeft w:val="274"/>
          <w:marRight w:val="0"/>
          <w:marTop w:val="0"/>
          <w:marBottom w:val="0"/>
          <w:divBdr>
            <w:top w:val="none" w:sz="0" w:space="0" w:color="auto"/>
            <w:left w:val="none" w:sz="0" w:space="0" w:color="auto"/>
            <w:bottom w:val="none" w:sz="0" w:space="0" w:color="auto"/>
            <w:right w:val="none" w:sz="0" w:space="0" w:color="auto"/>
          </w:divBdr>
        </w:div>
        <w:div w:id="1774477843">
          <w:marLeft w:val="274"/>
          <w:marRight w:val="0"/>
          <w:marTop w:val="0"/>
          <w:marBottom w:val="0"/>
          <w:divBdr>
            <w:top w:val="none" w:sz="0" w:space="0" w:color="auto"/>
            <w:left w:val="none" w:sz="0" w:space="0" w:color="auto"/>
            <w:bottom w:val="none" w:sz="0" w:space="0" w:color="auto"/>
            <w:right w:val="none" w:sz="0" w:space="0" w:color="auto"/>
          </w:divBdr>
        </w:div>
        <w:div w:id="1784417641">
          <w:marLeft w:val="274"/>
          <w:marRight w:val="0"/>
          <w:marTop w:val="0"/>
          <w:marBottom w:val="0"/>
          <w:divBdr>
            <w:top w:val="none" w:sz="0" w:space="0" w:color="auto"/>
            <w:left w:val="none" w:sz="0" w:space="0" w:color="auto"/>
            <w:bottom w:val="none" w:sz="0" w:space="0" w:color="auto"/>
            <w:right w:val="none" w:sz="0" w:space="0" w:color="auto"/>
          </w:divBdr>
        </w:div>
        <w:div w:id="1926651012">
          <w:marLeft w:val="274"/>
          <w:marRight w:val="0"/>
          <w:marTop w:val="0"/>
          <w:marBottom w:val="0"/>
          <w:divBdr>
            <w:top w:val="none" w:sz="0" w:space="0" w:color="auto"/>
            <w:left w:val="none" w:sz="0" w:space="0" w:color="auto"/>
            <w:bottom w:val="none" w:sz="0" w:space="0" w:color="auto"/>
            <w:right w:val="none" w:sz="0" w:space="0" w:color="auto"/>
          </w:divBdr>
        </w:div>
        <w:div w:id="1939094534">
          <w:marLeft w:val="274"/>
          <w:marRight w:val="0"/>
          <w:marTop w:val="0"/>
          <w:marBottom w:val="0"/>
          <w:divBdr>
            <w:top w:val="none" w:sz="0" w:space="0" w:color="auto"/>
            <w:left w:val="none" w:sz="0" w:space="0" w:color="auto"/>
            <w:bottom w:val="none" w:sz="0" w:space="0" w:color="auto"/>
            <w:right w:val="none" w:sz="0" w:space="0" w:color="auto"/>
          </w:divBdr>
        </w:div>
        <w:div w:id="1943222446">
          <w:marLeft w:val="274"/>
          <w:marRight w:val="0"/>
          <w:marTop w:val="0"/>
          <w:marBottom w:val="0"/>
          <w:divBdr>
            <w:top w:val="none" w:sz="0" w:space="0" w:color="auto"/>
            <w:left w:val="none" w:sz="0" w:space="0" w:color="auto"/>
            <w:bottom w:val="none" w:sz="0" w:space="0" w:color="auto"/>
            <w:right w:val="none" w:sz="0" w:space="0" w:color="auto"/>
          </w:divBdr>
        </w:div>
        <w:div w:id="1969431165">
          <w:marLeft w:val="274"/>
          <w:marRight w:val="0"/>
          <w:marTop w:val="0"/>
          <w:marBottom w:val="0"/>
          <w:divBdr>
            <w:top w:val="none" w:sz="0" w:space="0" w:color="auto"/>
            <w:left w:val="none" w:sz="0" w:space="0" w:color="auto"/>
            <w:bottom w:val="none" w:sz="0" w:space="0" w:color="auto"/>
            <w:right w:val="none" w:sz="0" w:space="0" w:color="auto"/>
          </w:divBdr>
        </w:div>
        <w:div w:id="1978798007">
          <w:marLeft w:val="274"/>
          <w:marRight w:val="0"/>
          <w:marTop w:val="0"/>
          <w:marBottom w:val="0"/>
          <w:divBdr>
            <w:top w:val="none" w:sz="0" w:space="0" w:color="auto"/>
            <w:left w:val="none" w:sz="0" w:space="0" w:color="auto"/>
            <w:bottom w:val="none" w:sz="0" w:space="0" w:color="auto"/>
            <w:right w:val="none" w:sz="0" w:space="0" w:color="auto"/>
          </w:divBdr>
        </w:div>
        <w:div w:id="1978876823">
          <w:marLeft w:val="274"/>
          <w:marRight w:val="0"/>
          <w:marTop w:val="0"/>
          <w:marBottom w:val="0"/>
          <w:divBdr>
            <w:top w:val="none" w:sz="0" w:space="0" w:color="auto"/>
            <w:left w:val="none" w:sz="0" w:space="0" w:color="auto"/>
            <w:bottom w:val="none" w:sz="0" w:space="0" w:color="auto"/>
            <w:right w:val="none" w:sz="0" w:space="0" w:color="auto"/>
          </w:divBdr>
        </w:div>
        <w:div w:id="2016371796">
          <w:marLeft w:val="274"/>
          <w:marRight w:val="0"/>
          <w:marTop w:val="0"/>
          <w:marBottom w:val="0"/>
          <w:divBdr>
            <w:top w:val="none" w:sz="0" w:space="0" w:color="auto"/>
            <w:left w:val="none" w:sz="0" w:space="0" w:color="auto"/>
            <w:bottom w:val="none" w:sz="0" w:space="0" w:color="auto"/>
            <w:right w:val="none" w:sz="0" w:space="0" w:color="auto"/>
          </w:divBdr>
        </w:div>
        <w:div w:id="2031950856">
          <w:marLeft w:val="274"/>
          <w:marRight w:val="0"/>
          <w:marTop w:val="0"/>
          <w:marBottom w:val="0"/>
          <w:divBdr>
            <w:top w:val="none" w:sz="0" w:space="0" w:color="auto"/>
            <w:left w:val="none" w:sz="0" w:space="0" w:color="auto"/>
            <w:bottom w:val="none" w:sz="0" w:space="0" w:color="auto"/>
            <w:right w:val="none" w:sz="0" w:space="0" w:color="auto"/>
          </w:divBdr>
        </w:div>
        <w:div w:id="2108764169">
          <w:marLeft w:val="274"/>
          <w:marRight w:val="0"/>
          <w:marTop w:val="0"/>
          <w:marBottom w:val="0"/>
          <w:divBdr>
            <w:top w:val="none" w:sz="0" w:space="0" w:color="auto"/>
            <w:left w:val="none" w:sz="0" w:space="0" w:color="auto"/>
            <w:bottom w:val="none" w:sz="0" w:space="0" w:color="auto"/>
            <w:right w:val="none" w:sz="0" w:space="0" w:color="auto"/>
          </w:divBdr>
        </w:div>
      </w:divsChild>
    </w:div>
    <w:div w:id="2021546857">
      <w:bodyDiv w:val="1"/>
      <w:marLeft w:val="0"/>
      <w:marRight w:val="0"/>
      <w:marTop w:val="0"/>
      <w:marBottom w:val="0"/>
      <w:divBdr>
        <w:top w:val="none" w:sz="0" w:space="0" w:color="auto"/>
        <w:left w:val="none" w:sz="0" w:space="0" w:color="auto"/>
        <w:bottom w:val="none" w:sz="0" w:space="0" w:color="auto"/>
        <w:right w:val="none" w:sz="0" w:space="0" w:color="auto"/>
      </w:divBdr>
    </w:div>
    <w:div w:id="2022395936">
      <w:bodyDiv w:val="1"/>
      <w:marLeft w:val="0"/>
      <w:marRight w:val="0"/>
      <w:marTop w:val="0"/>
      <w:marBottom w:val="0"/>
      <w:divBdr>
        <w:top w:val="none" w:sz="0" w:space="0" w:color="auto"/>
        <w:left w:val="none" w:sz="0" w:space="0" w:color="auto"/>
        <w:bottom w:val="none" w:sz="0" w:space="0" w:color="auto"/>
        <w:right w:val="none" w:sz="0" w:space="0" w:color="auto"/>
      </w:divBdr>
    </w:div>
    <w:div w:id="2025982214">
      <w:bodyDiv w:val="1"/>
      <w:marLeft w:val="0"/>
      <w:marRight w:val="0"/>
      <w:marTop w:val="0"/>
      <w:marBottom w:val="0"/>
      <w:divBdr>
        <w:top w:val="none" w:sz="0" w:space="0" w:color="auto"/>
        <w:left w:val="none" w:sz="0" w:space="0" w:color="auto"/>
        <w:bottom w:val="none" w:sz="0" w:space="0" w:color="auto"/>
        <w:right w:val="none" w:sz="0" w:space="0" w:color="auto"/>
      </w:divBdr>
    </w:div>
    <w:div w:id="2067099316">
      <w:bodyDiv w:val="1"/>
      <w:marLeft w:val="0"/>
      <w:marRight w:val="0"/>
      <w:marTop w:val="0"/>
      <w:marBottom w:val="0"/>
      <w:divBdr>
        <w:top w:val="none" w:sz="0" w:space="0" w:color="auto"/>
        <w:left w:val="none" w:sz="0" w:space="0" w:color="auto"/>
        <w:bottom w:val="none" w:sz="0" w:space="0" w:color="auto"/>
        <w:right w:val="none" w:sz="0" w:space="0" w:color="auto"/>
      </w:divBdr>
      <w:divsChild>
        <w:div w:id="2079592028">
          <w:marLeft w:val="274"/>
          <w:marRight w:val="0"/>
          <w:marTop w:val="0"/>
          <w:marBottom w:val="0"/>
          <w:divBdr>
            <w:top w:val="none" w:sz="0" w:space="0" w:color="auto"/>
            <w:left w:val="none" w:sz="0" w:space="0" w:color="auto"/>
            <w:bottom w:val="none" w:sz="0" w:space="0" w:color="auto"/>
            <w:right w:val="none" w:sz="0" w:space="0" w:color="auto"/>
          </w:divBdr>
        </w:div>
      </w:divsChild>
    </w:div>
    <w:div w:id="2068722859">
      <w:bodyDiv w:val="1"/>
      <w:marLeft w:val="0"/>
      <w:marRight w:val="0"/>
      <w:marTop w:val="0"/>
      <w:marBottom w:val="0"/>
      <w:divBdr>
        <w:top w:val="none" w:sz="0" w:space="0" w:color="auto"/>
        <w:left w:val="none" w:sz="0" w:space="0" w:color="auto"/>
        <w:bottom w:val="none" w:sz="0" w:space="0" w:color="auto"/>
        <w:right w:val="none" w:sz="0" w:space="0" w:color="auto"/>
      </w:divBdr>
    </w:div>
    <w:div w:id="2092849865">
      <w:bodyDiv w:val="1"/>
      <w:marLeft w:val="0"/>
      <w:marRight w:val="0"/>
      <w:marTop w:val="0"/>
      <w:marBottom w:val="0"/>
      <w:divBdr>
        <w:top w:val="none" w:sz="0" w:space="0" w:color="auto"/>
        <w:left w:val="none" w:sz="0" w:space="0" w:color="auto"/>
        <w:bottom w:val="none" w:sz="0" w:space="0" w:color="auto"/>
        <w:right w:val="none" w:sz="0" w:space="0" w:color="auto"/>
      </w:divBdr>
    </w:div>
    <w:div w:id="2139906921">
      <w:bodyDiv w:val="1"/>
      <w:marLeft w:val="0"/>
      <w:marRight w:val="0"/>
      <w:marTop w:val="0"/>
      <w:marBottom w:val="0"/>
      <w:divBdr>
        <w:top w:val="none" w:sz="0" w:space="0" w:color="auto"/>
        <w:left w:val="none" w:sz="0" w:space="0" w:color="auto"/>
        <w:bottom w:val="none" w:sz="0" w:space="0" w:color="auto"/>
        <w:right w:val="none" w:sz="0" w:space="0" w:color="auto"/>
      </w:divBdr>
    </w:div>
    <w:div w:id="21469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s://www.iea.org/countries/kazakhstan/e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s\&#1069;&#1085;&#1077;&#1088;&#1075;&#1086;&#1087;&#1077;&#1088;&#1077;&#1093;&#1086;&#1076;\01.%20&#1069;&#1055;\3.%20&#1055;&#1069;&#1055;\4.%20&#1057;&#1094;&#1077;&#1085;&#1072;&#1088;&#1080;&#1080;%202024%20&#1075;&#1086;&#1076;\&#1055;&#1056;&#1054;&#1045;&#1050;&#1058;%20&#1057;&#1062;&#1045;&#1053;&#1040;&#1056;&#1048;&#1045;&#1042;%20&#1055;&#1069;&#1055;%2023.08%20&#1087;&#1088;&#1086;&#1077;&#1082;&#1090;&#1099;=&#1057;&#1090;&#1088;&#1072;&#1090;&#1077;&#1075;&#1080;&#1103;%20(&#1089;%20&#1080;&#1093;%20&#1074;&#1099;&#1088;&#1072;&#1073;&#1086;&#1090;&#1082;&#1086;&#10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s\&#1069;&#1085;&#1077;&#1088;&#1075;&#1086;&#1087;&#1077;&#1088;&#1077;&#1093;&#1086;&#1076;\01.%20&#1069;&#1055;\3.%20&#1055;&#1069;&#1055;\4.%20&#1053;&#1054;&#1042;&#1040;&#1071;%20&#1056;&#1045;&#1044;&#1040;&#1050;&#1062;&#1048;&#1071;%20&#1055;&#1069;&#1055;\&#1055;&#1056;&#1054;&#1045;&#1050;&#1058;%20&#1057;&#1062;&#1045;&#1053;&#1040;&#1056;&#1048;&#1045;&#1042;%20&#1055;&#1069;&#1055;%2021.09%20&#1087;&#1088;&#1086;&#1077;&#1082;&#1090;&#1099;=&#1057;&#1090;&#1088;&#1072;&#1090;&#1077;&#1075;&#1080;&#1103;=&#1074;&#1099;&#1074;&#1086;&#1076;%20&#1044;&#1043;&#1080;&#105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s\&#1069;&#1085;&#1077;&#1088;&#1075;&#1086;&#1087;&#1077;&#1088;&#1077;&#1093;&#1086;&#1076;\01.%20&#1069;&#1055;\3.%20&#1055;&#1069;&#1055;\4.%20&#1053;&#1054;&#1042;&#1040;&#1071;%20&#1056;&#1045;&#1044;&#1040;&#1050;&#1062;&#1048;&#1071;%20&#1055;&#1069;&#1055;\&#1055;&#1055;%20&#1082;&#1086;&#1084;&#1084;&#1084;&#1077;&#1085;&#1090;&#1099;_&#1055;&#1056;&#1054;&#1045;&#1050;&#1058;%20&#1057;&#1062;&#1045;&#1053;&#1040;&#1056;&#1048;&#1045;&#1042;%20&#1055;&#1069;&#1055;%2029.10%20&#1087;&#1088;&#1086;&#1077;&#1082;&#1090;&#1099;=&#1057;&#1090;&#1088;&#1072;&#1090;&#1077;&#1075;&#1080;&#1103;=&#1074;&#1099;&#1074;&#1086;&#1076;%20&#1044;&#1043;&#1080;&#1058;.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40000"/>
                <a:lumOff val="6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Лист1!$B$2:$H$2</c:f>
              <c:numCache>
                <c:formatCode>General</c:formatCode>
                <c:ptCount val="7"/>
                <c:pt idx="0">
                  <c:v>1990</c:v>
                </c:pt>
                <c:pt idx="1">
                  <c:v>2000</c:v>
                </c:pt>
                <c:pt idx="2">
                  <c:v>2005</c:v>
                </c:pt>
                <c:pt idx="3">
                  <c:v>2015</c:v>
                </c:pt>
                <c:pt idx="4">
                  <c:v>2019</c:v>
                </c:pt>
                <c:pt idx="5">
                  <c:v>2020</c:v>
                </c:pt>
                <c:pt idx="6">
                  <c:v>2021</c:v>
                </c:pt>
              </c:numCache>
            </c:numRef>
          </c:cat>
          <c:val>
            <c:numRef>
              <c:f>Лист1!$B$3:$H$3</c:f>
              <c:numCache>
                <c:formatCode>General</c:formatCode>
                <c:ptCount val="7"/>
                <c:pt idx="0">
                  <c:v>22.7</c:v>
                </c:pt>
                <c:pt idx="1">
                  <c:v>25.8</c:v>
                </c:pt>
                <c:pt idx="2">
                  <c:v>30.2</c:v>
                </c:pt>
                <c:pt idx="3">
                  <c:v>36.299999999999997</c:v>
                </c:pt>
                <c:pt idx="4">
                  <c:v>38</c:v>
                </c:pt>
                <c:pt idx="5">
                  <c:v>36</c:v>
                </c:pt>
                <c:pt idx="6">
                  <c:v>37.9</c:v>
                </c:pt>
              </c:numCache>
            </c:numRef>
          </c:val>
          <c:extLst xmlns:c16r2="http://schemas.microsoft.com/office/drawing/2015/06/chart">
            <c:ext xmlns:c16="http://schemas.microsoft.com/office/drawing/2014/chart" uri="{C3380CC4-5D6E-409C-BE32-E72D297353CC}">
              <c16:uniqueId val="{00000000-C1C9-7E4B-8B62-EE460E8D97F0}"/>
            </c:ext>
          </c:extLst>
        </c:ser>
        <c:dLbls>
          <c:dLblPos val="outEnd"/>
          <c:showLegendKey val="0"/>
          <c:showVal val="1"/>
          <c:showCatName val="0"/>
          <c:showSerName val="0"/>
          <c:showPercent val="0"/>
          <c:showBubbleSize val="0"/>
        </c:dLbls>
        <c:gapWidth val="219"/>
        <c:overlap val="-27"/>
        <c:axId val="511253064"/>
        <c:axId val="511250712"/>
      </c:barChart>
      <c:catAx>
        <c:axId val="51125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50712"/>
        <c:crosses val="autoZero"/>
        <c:auto val="1"/>
        <c:lblAlgn val="ctr"/>
        <c:lblOffset val="100"/>
        <c:noMultiLvlLbl val="0"/>
      </c:catAx>
      <c:valAx>
        <c:axId val="511250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53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sq">
              <a:solidFill>
                <a:schemeClr val="accent1">
                  <a:lumMod val="40000"/>
                  <a:lumOff val="60000"/>
                </a:schemeClr>
              </a:solidFill>
              <a:miter lim="800000"/>
            </a:ln>
            <a:effectLst/>
          </c:spPr>
          <c:marker>
            <c:symbol val="circle"/>
            <c:size val="5"/>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Лист2!$B$2:$X$2</c:f>
              <c:numCache>
                <c:formatCode>General</c:formatCode>
                <c:ptCount val="23"/>
                <c:pt idx="0">
                  <c:v>1990</c:v>
                </c:pt>
                <c:pt idx="1">
                  <c:v>1995</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Лист2!$B$3:$X$3</c:f>
              <c:numCache>
                <c:formatCode>General</c:formatCode>
                <c:ptCount val="23"/>
                <c:pt idx="0">
                  <c:v>385.6</c:v>
                </c:pt>
                <c:pt idx="1">
                  <c:v>243.2</c:v>
                </c:pt>
                <c:pt idx="2">
                  <c:v>216.2</c:v>
                </c:pt>
                <c:pt idx="3">
                  <c:v>210.1</c:v>
                </c:pt>
                <c:pt idx="4">
                  <c:v>232.4</c:v>
                </c:pt>
                <c:pt idx="5">
                  <c:v>253.9</c:v>
                </c:pt>
                <c:pt idx="6">
                  <c:v>260.5</c:v>
                </c:pt>
                <c:pt idx="7">
                  <c:v>274</c:v>
                </c:pt>
                <c:pt idx="8">
                  <c:v>291.39999999999998</c:v>
                </c:pt>
                <c:pt idx="9">
                  <c:v>293.3</c:v>
                </c:pt>
                <c:pt idx="10">
                  <c:v>288.5</c:v>
                </c:pt>
                <c:pt idx="11">
                  <c:v>276.7</c:v>
                </c:pt>
                <c:pt idx="12">
                  <c:v>300.8</c:v>
                </c:pt>
                <c:pt idx="13">
                  <c:v>290.8</c:v>
                </c:pt>
                <c:pt idx="14">
                  <c:v>295.7</c:v>
                </c:pt>
                <c:pt idx="15">
                  <c:v>303.7</c:v>
                </c:pt>
                <c:pt idx="16">
                  <c:v>351.5</c:v>
                </c:pt>
                <c:pt idx="17">
                  <c:v>355.8</c:v>
                </c:pt>
                <c:pt idx="18">
                  <c:v>360.9</c:v>
                </c:pt>
                <c:pt idx="19">
                  <c:v>379.4</c:v>
                </c:pt>
                <c:pt idx="20">
                  <c:v>392.8</c:v>
                </c:pt>
                <c:pt idx="21">
                  <c:v>359.6</c:v>
                </c:pt>
                <c:pt idx="22">
                  <c:v>342.9</c:v>
                </c:pt>
              </c:numCache>
            </c:numRef>
          </c:val>
          <c:smooth val="0"/>
          <c:extLst xmlns:c16r2="http://schemas.microsoft.com/office/drawing/2015/06/chart">
            <c:ext xmlns:c16="http://schemas.microsoft.com/office/drawing/2014/chart" uri="{C3380CC4-5D6E-409C-BE32-E72D297353CC}">
              <c16:uniqueId val="{00000000-665F-354F-87E4-60B61AC8F048}"/>
            </c:ext>
          </c:extLst>
        </c:ser>
        <c:dLbls>
          <c:dLblPos val="t"/>
          <c:showLegendKey val="0"/>
          <c:showVal val="1"/>
          <c:showCatName val="0"/>
          <c:showSerName val="0"/>
          <c:showPercent val="0"/>
          <c:showBubbleSize val="0"/>
        </c:dLbls>
        <c:marker val="1"/>
        <c:smooth val="0"/>
        <c:axId val="511258552"/>
        <c:axId val="511251496"/>
      </c:lineChart>
      <c:catAx>
        <c:axId val="51125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51496"/>
        <c:crossesAt val="0"/>
        <c:auto val="1"/>
        <c:lblAlgn val="ctr"/>
        <c:lblOffset val="100"/>
        <c:noMultiLvlLbl val="0"/>
      </c:catAx>
      <c:valAx>
        <c:axId val="511251496"/>
        <c:scaling>
          <c:orientation val="minMax"/>
          <c:min val="1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58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'[Диаграмма в Microsoft Word]Лист1'!$A$3</c:f>
              <c:strCache>
                <c:ptCount val="1"/>
                <c:pt idx="0">
                  <c:v>СО2</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3175">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Word]Лист1'!$B$3:$G$3</c:f>
              <c:numCache>
                <c:formatCode>_-* #\ ##0\ _₽_-;\-* #\ ##0\ _₽_-;_-* "-"??\ _₽_-;_-@_-</c:formatCode>
                <c:ptCount val="6"/>
                <c:pt idx="0">
                  <c:v>33743.578472000001</c:v>
                </c:pt>
                <c:pt idx="1">
                  <c:v>31593.165525000004</c:v>
                </c:pt>
                <c:pt idx="2">
                  <c:v>33413.976096999999</c:v>
                </c:pt>
                <c:pt idx="3">
                  <c:v>32951.526718000001</c:v>
                </c:pt>
                <c:pt idx="4">
                  <c:v>31978.242521999997</c:v>
                </c:pt>
                <c:pt idx="5">
                  <c:v>31877</c:v>
                </c:pt>
              </c:numCache>
            </c:numRef>
          </c:val>
          <c:extLst xmlns:c16r2="http://schemas.microsoft.com/office/drawing/2015/06/chart">
            <c:ext xmlns:c16="http://schemas.microsoft.com/office/drawing/2014/chart" uri="{C3380CC4-5D6E-409C-BE32-E72D297353CC}">
              <c16:uniqueId val="{00000000-3979-CE4C-8798-875BAA37C694}"/>
            </c:ext>
          </c:extLst>
        </c:ser>
        <c:ser>
          <c:idx val="1"/>
          <c:order val="1"/>
          <c:tx>
            <c:strRef>
              <c:f>'[Диаграмма в Microsoft Word]Лист1'!$A$4</c:f>
              <c:strCache>
                <c:ptCount val="1"/>
                <c:pt idx="0">
                  <c:v>CH4</c:v>
                </c:pt>
              </c:strCache>
            </c:strRef>
          </c:tx>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3175">
              <a:solidFill>
                <a:schemeClr val="accent6">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Word]Лист1'!$B$4:$G$4</c:f>
              <c:numCache>
                <c:formatCode>_-* #\ ##0\ _₽_-;\-* #\ ##0\ _₽_-;_-* "-"??\ _₽_-;_-@_-</c:formatCode>
                <c:ptCount val="6"/>
                <c:pt idx="0">
                  <c:v>7389.7238389999993</c:v>
                </c:pt>
                <c:pt idx="1">
                  <c:v>7430.8579300000001</c:v>
                </c:pt>
                <c:pt idx="2">
                  <c:v>7173.6665100000009</c:v>
                </c:pt>
                <c:pt idx="3">
                  <c:v>7266.4451369999997</c:v>
                </c:pt>
                <c:pt idx="4">
                  <c:v>940.98844539999993</c:v>
                </c:pt>
                <c:pt idx="5">
                  <c:v>1065</c:v>
                </c:pt>
              </c:numCache>
            </c:numRef>
          </c:val>
          <c:extLst xmlns:c16r2="http://schemas.microsoft.com/office/drawing/2015/06/chart">
            <c:ext xmlns:c16="http://schemas.microsoft.com/office/drawing/2014/chart" uri="{C3380CC4-5D6E-409C-BE32-E72D297353CC}">
              <c16:uniqueId val="{00000001-3979-CE4C-8798-875BAA37C694}"/>
            </c:ext>
          </c:extLst>
        </c:ser>
        <c:ser>
          <c:idx val="2"/>
          <c:order val="2"/>
          <c:tx>
            <c:strRef>
              <c:f>'[Диаграмма в Microsoft Word]Лист1'!$A$5</c:f>
              <c:strCache>
                <c:ptCount val="1"/>
                <c:pt idx="0">
                  <c:v>N2O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Word]Лист1'!$B$5:$G$5</c:f>
              <c:numCache>
                <c:formatCode>_-* #\ ##0\ _₽_-;\-* #\ ##0\ _₽_-;_-* "-"??\ _₽_-;_-@_-</c:formatCode>
                <c:ptCount val="6"/>
                <c:pt idx="0">
                  <c:v>91.086239999999989</c:v>
                </c:pt>
                <c:pt idx="1">
                  <c:v>85.127769999999984</c:v>
                </c:pt>
                <c:pt idx="2">
                  <c:v>91.743790000000004</c:v>
                </c:pt>
                <c:pt idx="3">
                  <c:v>90.021029999999996</c:v>
                </c:pt>
                <c:pt idx="4">
                  <c:v>74.181988000000004</c:v>
                </c:pt>
                <c:pt idx="5">
                  <c:v>67</c:v>
                </c:pt>
              </c:numCache>
            </c:numRef>
          </c:val>
          <c:extLst xmlns:c16r2="http://schemas.microsoft.com/office/drawing/2015/06/chart">
            <c:ext xmlns:c16="http://schemas.microsoft.com/office/drawing/2014/chart" uri="{C3380CC4-5D6E-409C-BE32-E72D297353CC}">
              <c16:uniqueId val="{00000002-3979-CE4C-8798-875BAA37C694}"/>
            </c:ext>
          </c:extLst>
        </c:ser>
        <c:dLbls>
          <c:dLblPos val="outEnd"/>
          <c:showLegendKey val="0"/>
          <c:showVal val="1"/>
          <c:showCatName val="0"/>
          <c:showSerName val="0"/>
          <c:showPercent val="0"/>
          <c:showBubbleSize val="0"/>
        </c:dLbls>
        <c:gapWidth val="219"/>
        <c:overlap val="-27"/>
        <c:axId val="511253848"/>
        <c:axId val="511249144"/>
      </c:barChart>
      <c:catAx>
        <c:axId val="51125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511249144"/>
        <c:crosses val="autoZero"/>
        <c:auto val="1"/>
        <c:lblAlgn val="ctr"/>
        <c:lblOffset val="100"/>
        <c:noMultiLvlLbl val="0"/>
      </c:catAx>
      <c:valAx>
        <c:axId val="511249144"/>
        <c:scaling>
          <c:orientation val="minMax"/>
        </c:scaling>
        <c:delete val="0"/>
        <c:axPos val="l"/>
        <c:majorGridlines>
          <c:spPr>
            <a:ln w="9525" cap="flat" cmpd="sng" algn="ctr">
              <a:solidFill>
                <a:schemeClr val="tx1">
                  <a:lumMod val="15000"/>
                  <a:lumOff val="85000"/>
                </a:schemeClr>
              </a:solidFill>
              <a:round/>
            </a:ln>
            <a:effectLst/>
          </c:spPr>
        </c:majorGridlines>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511253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2022</a:t>
            </a:r>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Лист5!$C$2</c:f>
              <c:strCache>
                <c:ptCount val="1"/>
                <c:pt idx="0">
                  <c:v>2022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F0AA-4911-AF86-A148F758C46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F0AA-4911-AF86-A148F758C46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Лист5!$B$3:$B$4</c:f>
              <c:strCache>
                <c:ptCount val="2"/>
                <c:pt idx="0">
                  <c:v>Scope1</c:v>
                </c:pt>
                <c:pt idx="1">
                  <c:v>Scope2</c:v>
                </c:pt>
              </c:strCache>
            </c:strRef>
          </c:cat>
          <c:val>
            <c:numRef>
              <c:f>Лист5!$C$3:$C$4</c:f>
              <c:numCache>
                <c:formatCode>0.000</c:formatCode>
                <c:ptCount val="2"/>
                <c:pt idx="0" formatCode="General">
                  <c:v>32.9</c:v>
                </c:pt>
                <c:pt idx="1">
                  <c:v>1.3333686104E-2</c:v>
                </c:pt>
              </c:numCache>
            </c:numRef>
          </c:val>
          <c:extLst xmlns:c16r2="http://schemas.microsoft.com/office/drawing/2015/06/chart">
            <c:ext xmlns:c16="http://schemas.microsoft.com/office/drawing/2014/chart" uri="{C3380CC4-5D6E-409C-BE32-E72D297353CC}">
              <c16:uniqueId val="{00000000-25C4-474F-A059-0267A0C79E3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doughnutChart>
        <c:varyColors val="1"/>
        <c:ser>
          <c:idx val="0"/>
          <c:order val="0"/>
          <c:tx>
            <c:strRef>
              <c:f>'Диаграмма Нетто'!$F$2</c:f>
              <c:strCache>
                <c:ptCount val="1"/>
                <c:pt idx="0">
                  <c:v>2023</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5424-44F8-B148-1825FA8F800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5424-44F8-B148-1825FA8F80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'Диаграмма Нетто'!$E$3:$E$4</c:f>
              <c:strCache>
                <c:ptCount val="2"/>
                <c:pt idx="0">
                  <c:v>Scope1</c:v>
                </c:pt>
                <c:pt idx="1">
                  <c:v>Scope2</c:v>
                </c:pt>
              </c:strCache>
            </c:strRef>
          </c:cat>
          <c:val>
            <c:numRef>
              <c:f>'Диаграмма Нетто'!$F$3:$F$4</c:f>
              <c:numCache>
                <c:formatCode>0.000</c:formatCode>
                <c:ptCount val="2"/>
                <c:pt idx="0" formatCode="General">
                  <c:v>33.01</c:v>
                </c:pt>
                <c:pt idx="1">
                  <c:v>1.1343548622099998E-2</c:v>
                </c:pt>
              </c:numCache>
            </c:numRef>
          </c:val>
          <c:extLst xmlns:c16r2="http://schemas.microsoft.com/office/drawing/2015/06/chart">
            <c:ext xmlns:c16="http://schemas.microsoft.com/office/drawing/2014/chart" uri="{C3380CC4-5D6E-409C-BE32-E72D297353CC}">
              <c16:uniqueId val="{00000004-5424-44F8-B148-1825FA8F800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'[ПП коммменты_ПРОЕКТ СЦЕНАРИЕВ ПЭП 29.10 проекты=Стратегия=вывод ДГиТ.xlsx]Диаграмма Нетто'!$E$39</c:f>
              <c:strCache>
                <c:ptCount val="1"/>
                <c:pt idx="0">
                  <c:v>BAU</c:v>
                </c:pt>
              </c:strCache>
            </c:strRef>
          </c:tx>
          <c:spPr>
            <a:ln w="28575" cap="rnd">
              <a:solidFill>
                <a:schemeClr val="bg1">
                  <a:lumMod val="75000"/>
                </a:schemeClr>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Нетто'!$F$39:$N$39</c:f>
              <c:numCache>
                <c:formatCode>0.00</c:formatCode>
                <c:ptCount val="9"/>
                <c:pt idx="0">
                  <c:v>40.307993390100002</c:v>
                </c:pt>
                <c:pt idx="1">
                  <c:v>35.20580430382789</c:v>
                </c:pt>
                <c:pt idx="2">
                  <c:v>53.567253709674468</c:v>
                </c:pt>
                <c:pt idx="3">
                  <c:v>49.56508165034036</c:v>
                </c:pt>
                <c:pt idx="4">
                  <c:v>50.158622879422623</c:v>
                </c:pt>
                <c:pt idx="5">
                  <c:v>50.238685530031958</c:v>
                </c:pt>
                <c:pt idx="6">
                  <c:v>50.250441018981846</c:v>
                </c:pt>
                <c:pt idx="7">
                  <c:v>50.238685530031958</c:v>
                </c:pt>
                <c:pt idx="8">
                  <c:v>50.250441018981846</c:v>
                </c:pt>
              </c:numCache>
            </c:numRef>
          </c:val>
          <c:smooth val="0"/>
          <c:extLst xmlns:c16r2="http://schemas.microsoft.com/office/drawing/2015/06/chart">
            <c:ext xmlns:c16="http://schemas.microsoft.com/office/drawing/2014/chart" uri="{C3380CC4-5D6E-409C-BE32-E72D297353CC}">
              <c16:uniqueId val="{00000000-6C73-48EE-821F-07BF4AE67B33}"/>
            </c:ext>
          </c:extLst>
        </c:ser>
        <c:ser>
          <c:idx val="1"/>
          <c:order val="1"/>
          <c:tx>
            <c:strRef>
              <c:f>'[ПП коммменты_ПРОЕКТ СЦЕНАРИЕВ ПЭП 29.10 проекты=Стратегия=вывод ДГиТ.xlsx]Диаграмма Нетто'!$E$40</c:f>
              <c:strCache>
                <c:ptCount val="1"/>
                <c:pt idx="0">
                  <c:v>Декарбонизация</c:v>
                </c:pt>
              </c:strCache>
            </c:strRef>
          </c:tx>
          <c:spPr>
            <a:ln w="28575" cap="rnd">
              <a:solidFill>
                <a:schemeClr val="accent2"/>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Нетто'!$F$40:$N$40</c:f>
              <c:numCache>
                <c:formatCode>0.00</c:formatCode>
                <c:ptCount val="9"/>
                <c:pt idx="0">
                  <c:v>40.307993390100002</c:v>
                </c:pt>
                <c:pt idx="1">
                  <c:v>35.20580430382789</c:v>
                </c:pt>
                <c:pt idx="2">
                  <c:v>53.567253709674468</c:v>
                </c:pt>
                <c:pt idx="3">
                  <c:v>49.56508165034036</c:v>
                </c:pt>
                <c:pt idx="4">
                  <c:v>50.158622879422623</c:v>
                </c:pt>
                <c:pt idx="5">
                  <c:v>18.359276943922929</c:v>
                </c:pt>
                <c:pt idx="6">
                  <c:v>5.2474620108228098</c:v>
                </c:pt>
                <c:pt idx="7">
                  <c:v>1.9105016237083676</c:v>
                </c:pt>
                <c:pt idx="8">
                  <c:v>0</c:v>
                </c:pt>
              </c:numCache>
            </c:numRef>
          </c:val>
          <c:smooth val="0"/>
          <c:extLst xmlns:c16r2="http://schemas.microsoft.com/office/drawing/2015/06/chart">
            <c:ext xmlns:c16="http://schemas.microsoft.com/office/drawing/2014/chart" uri="{C3380CC4-5D6E-409C-BE32-E72D297353CC}">
              <c16:uniqueId val="{00000001-6C73-48EE-821F-07BF4AE67B33}"/>
            </c:ext>
          </c:extLst>
        </c:ser>
        <c:ser>
          <c:idx val="2"/>
          <c:order val="2"/>
          <c:tx>
            <c:strRef>
              <c:f>'[ПП коммменты_ПРОЕКТ СЦЕНАРИЕВ ПЭП 29.10 проекты=Стратегия=вывод ДГиТ.xlsx]Диаграмма Нетто'!$E$41</c:f>
              <c:strCache>
                <c:ptCount val="1"/>
                <c:pt idx="0">
                  <c:v>Глубокая декарбонизация</c:v>
                </c:pt>
              </c:strCache>
            </c:strRef>
          </c:tx>
          <c:spPr>
            <a:ln w="28575" cap="rnd">
              <a:solidFill>
                <a:schemeClr val="accent6">
                  <a:lumMod val="60000"/>
                  <a:lumOff val="40000"/>
                </a:schemeClr>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Нетто'!$F$41:$N$41</c:f>
              <c:numCache>
                <c:formatCode>0.00</c:formatCode>
                <c:ptCount val="9"/>
                <c:pt idx="0">
                  <c:v>40.307993390100002</c:v>
                </c:pt>
                <c:pt idx="1">
                  <c:v>35.20580430382789</c:v>
                </c:pt>
                <c:pt idx="2">
                  <c:v>53.567253709674468</c:v>
                </c:pt>
                <c:pt idx="3">
                  <c:v>49.56508165034036</c:v>
                </c:pt>
                <c:pt idx="4">
                  <c:v>48.543156239422622</c:v>
                </c:pt>
                <c:pt idx="5">
                  <c:v>11.897410383922931</c:v>
                </c:pt>
                <c:pt idx="6">
                  <c:v>0</c:v>
                </c:pt>
                <c:pt idx="7">
                  <c:v>0</c:v>
                </c:pt>
                <c:pt idx="8">
                  <c:v>0</c:v>
                </c:pt>
              </c:numCache>
            </c:numRef>
          </c:val>
          <c:smooth val="0"/>
          <c:extLst xmlns:c16r2="http://schemas.microsoft.com/office/drawing/2015/06/chart">
            <c:ext xmlns:c16="http://schemas.microsoft.com/office/drawing/2014/chart" uri="{C3380CC4-5D6E-409C-BE32-E72D297353CC}">
              <c16:uniqueId val="{00000002-6C73-48EE-821F-07BF4AE67B33}"/>
            </c:ext>
          </c:extLst>
        </c:ser>
        <c:dLbls>
          <c:showLegendKey val="0"/>
          <c:showVal val="0"/>
          <c:showCatName val="0"/>
          <c:showSerName val="0"/>
          <c:showPercent val="0"/>
          <c:showBubbleSize val="0"/>
        </c:dLbls>
        <c:smooth val="0"/>
        <c:axId val="511255416"/>
        <c:axId val="511249536"/>
      </c:lineChart>
      <c:catAx>
        <c:axId val="511255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49536"/>
        <c:crosses val="autoZero"/>
        <c:auto val="1"/>
        <c:lblAlgn val="ctr"/>
        <c:lblOffset val="100"/>
        <c:noMultiLvlLbl val="0"/>
      </c:catAx>
      <c:valAx>
        <c:axId val="51124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1255416"/>
        <c:crosses val="autoZero"/>
        <c:crossBetween val="between"/>
        <c:majorUnit val="2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4F9E-0A7C-4AF6-B260-1260B001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8624</Words>
  <Characters>49157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Шафикова Диана</dc:creator>
  <cp:keywords/>
  <dc:description/>
  <cp:lastModifiedBy>Булаткулова Алия</cp:lastModifiedBy>
  <cp:revision>4</cp:revision>
  <cp:lastPrinted>2024-11-20T08:43:00Z</cp:lastPrinted>
  <dcterms:created xsi:type="dcterms:W3CDTF">2025-02-17T06:39:00Z</dcterms:created>
  <dcterms:modified xsi:type="dcterms:W3CDTF">2025-02-18T11:45:00Z</dcterms:modified>
</cp:coreProperties>
</file>