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FA" w:rsidRPr="00F033FA" w:rsidRDefault="00F033FA" w:rsidP="00F033FA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E2EF4">
        <w:rPr>
          <w:rFonts w:ascii="Times New Roman" w:hAnsi="Times New Roman" w:cs="Times New Roman"/>
          <w:b/>
          <w:sz w:val="28"/>
          <w:szCs w:val="28"/>
        </w:rPr>
        <w:t>Заседание Совета директоров от 21 февраля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20E6">
        <w:rPr>
          <w:rFonts w:ascii="Times New Roman" w:hAnsi="Times New Roman" w:cs="Times New Roman"/>
          <w:b/>
          <w:sz w:val="28"/>
          <w:szCs w:val="28"/>
        </w:rPr>
        <w:t>5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33FA" w:rsidRPr="00F033FA" w:rsidRDefault="005F20E6" w:rsidP="00F0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="00F033FA"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="00F033FA"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6E2EF4" w:rsidRPr="006E2EF4" w:rsidRDefault="006831B8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2EF4" w:rsidRPr="006E2EF4">
        <w:t xml:space="preserve"> </w:t>
      </w:r>
      <w:r w:rsidR="006E2EF4"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Председател</w:t>
      </w:r>
      <w:r w:rsid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Правления за отчетный период;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руководящего работника по вопросам экономики и финансам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отчета об освоении инвестиций по инвестиционным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Общества по итогам 2024 года;</w:t>
      </w:r>
    </w:p>
    <w:p w:rsid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Оценки должностей Управляющего директора по правовому сопровождению и управлению активами и Управляющего директора по обеспечению и рискам. Об утверждении Схемы должностных окладов Председателя Правления и членов Правления и работников подотче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Совету директоров Общества;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определении должностных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 членов Правления Общества;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директора ТОО «Экибастузская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ГРЭС -1 имени Булата Нуржанова»;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ТОО «Energy Solutions Center»;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Отчёта о результатах расследования несчастного случая со смертельным исходом с работником АО «Алм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атинские электрические станции»;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одобрении Отчёта о работе в области безопасности и охраны труда за 2024 год и утверждении Отчёта об исполнении Плана мероприятий по достижению нулевого травматизма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компаний Общества за 2024 год;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АО «Бухтарминская ГЭС» Договора аренды Имущественного комплекса </w:t>
      </w:r>
      <w:proofErr w:type="spellStart"/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Бухтарминской</w:t>
      </w:r>
      <w:proofErr w:type="spellEnd"/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оэлектростанции с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Казцинк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по проекту «Строительство электростанции на базе парогазовой установки (ПГУ) общей мощностью порядка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МВт в Кызылординской области»;</w:t>
      </w:r>
    </w:p>
    <w:p w:rsidR="006E2EF4" w:rsidRPr="006E2EF4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проекта «Строительство ветровой электростанции 1 ГВт в </w:t>
      </w:r>
      <w:proofErr w:type="spellStart"/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Жетысуской</w:t>
      </w:r>
      <w:proofErr w:type="spellEnd"/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совместно с ACWA Power»;</w:t>
      </w:r>
    </w:p>
    <w:p w:rsidR="005F20E6" w:rsidRDefault="006E2EF4" w:rsidP="006E2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перераспределении средств (внутри класса) на консультационные услуги в пределах утвержденного Бюджета Общества на первый календарный год (2025 год), планируемого Планом развития (бизнес-планом) Общества на 2025-2029 годы.</w:t>
      </w:r>
    </w:p>
    <w:p w:rsidR="002327D7" w:rsidRDefault="002327D7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D5205B" w:rsidRDefault="00D5205B"/>
    <w:sectPr w:rsidR="00D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327D7"/>
    <w:rsid w:val="005F20E6"/>
    <w:rsid w:val="006831B8"/>
    <w:rsid w:val="006E2EF4"/>
    <w:rsid w:val="00D5205B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2024-02-15T03:41:00Z</dcterms:created>
  <dcterms:modified xsi:type="dcterms:W3CDTF">2025-02-13T07:10:00Z</dcterms:modified>
</cp:coreProperties>
</file>