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808D" w14:textId="6BEF239D" w:rsidR="003C7A5D" w:rsidRPr="003C7A5D" w:rsidRDefault="009D5007" w:rsidP="009D5007">
      <w:pPr>
        <w:rPr>
          <w:rFonts w:eastAsiaTheme="minorHAnsi"/>
          <w:b/>
          <w:bCs/>
          <w:sz w:val="28"/>
          <w:szCs w:val="28"/>
          <w:lang w:val="en-US" w:eastAsia="en-US"/>
        </w:rPr>
      </w:pPr>
      <w:r w:rsidRPr="009D5007">
        <w:rPr>
          <w:rFonts w:eastAsiaTheme="minorHAnsi"/>
          <w:b/>
          <w:sz w:val="28"/>
          <w:szCs w:val="28"/>
          <w:lang w:val="en-US" w:eastAsia="en-US"/>
        </w:rPr>
        <w:t xml:space="preserve">        </w:t>
      </w:r>
      <w:r w:rsidR="003C7A5D" w:rsidRPr="003C7A5D">
        <w:rPr>
          <w:rFonts w:eastAsiaTheme="minorHAnsi"/>
          <w:b/>
          <w:bCs/>
          <w:sz w:val="28"/>
          <w:szCs w:val="28"/>
          <w:lang w:val="en-US" w:eastAsia="en-US"/>
        </w:rPr>
        <w:t xml:space="preserve">The meeting of the Board of Directors dated </w:t>
      </w:r>
      <w:r w:rsidR="003C7A5D">
        <w:rPr>
          <w:rFonts w:eastAsiaTheme="minorHAnsi"/>
          <w:b/>
          <w:bCs/>
          <w:sz w:val="28"/>
          <w:szCs w:val="28"/>
          <w:lang w:val="en-US" w:eastAsia="en-US"/>
        </w:rPr>
        <w:t>March 2</w:t>
      </w:r>
      <w:r w:rsidR="003C7A5D" w:rsidRPr="003C7A5D">
        <w:rPr>
          <w:rFonts w:eastAsiaTheme="minorHAnsi"/>
          <w:b/>
          <w:bCs/>
          <w:sz w:val="28"/>
          <w:szCs w:val="28"/>
          <w:lang w:val="en-US" w:eastAsia="en-US"/>
        </w:rPr>
        <w:t>, 2026.</w:t>
      </w:r>
    </w:p>
    <w:p w14:paraId="76C0433D" w14:textId="77777777" w:rsidR="003C7A5D" w:rsidRPr="003C7A5D" w:rsidRDefault="003C7A5D" w:rsidP="003C7A5D">
      <w:pPr>
        <w:spacing w:after="160" w:line="252" w:lineRule="auto"/>
        <w:ind w:firstLine="567"/>
        <w:jc w:val="both"/>
        <w:rPr>
          <w:rFonts w:eastAsiaTheme="minorHAnsi"/>
          <w:sz w:val="28"/>
          <w:szCs w:val="28"/>
          <w:lang w:val="en-US" w:eastAsia="en-US"/>
        </w:rPr>
      </w:pPr>
    </w:p>
    <w:p w14:paraId="057B71E4" w14:textId="77777777" w:rsidR="009D5007" w:rsidRDefault="003C7A5D" w:rsidP="00B878D8">
      <w:pPr>
        <w:ind w:firstLine="567"/>
        <w:jc w:val="both"/>
        <w:rPr>
          <w:rFonts w:eastAsiaTheme="minorHAnsi"/>
          <w:sz w:val="28"/>
          <w:szCs w:val="28"/>
          <w:lang w:val="en-US" w:eastAsia="en-US"/>
        </w:rPr>
      </w:pPr>
      <w:r w:rsidRPr="003C7A5D">
        <w:rPr>
          <w:rFonts w:eastAsiaTheme="minorHAnsi"/>
          <w:sz w:val="28"/>
          <w:szCs w:val="28"/>
          <w:lang w:val="en-US" w:eastAsia="en-US"/>
        </w:rPr>
        <w:t xml:space="preserve">The Company’s Board of Directors addressed the following agenda items on </w:t>
      </w:r>
      <w:r>
        <w:rPr>
          <w:rFonts w:eastAsiaTheme="minorHAnsi"/>
          <w:sz w:val="28"/>
          <w:szCs w:val="28"/>
          <w:lang w:val="en-US" w:eastAsia="en-US"/>
        </w:rPr>
        <w:t>March</w:t>
      </w:r>
      <w:r w:rsidRPr="003C7A5D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2,</w:t>
      </w:r>
      <w:r w:rsidRPr="003C7A5D">
        <w:rPr>
          <w:rFonts w:eastAsiaTheme="minorHAnsi"/>
          <w:sz w:val="28"/>
          <w:szCs w:val="28"/>
          <w:lang w:val="en-US" w:eastAsia="en-US"/>
        </w:rPr>
        <w:t xml:space="preserve"> 2026, in accordance with “Samruk-Energy” JSC Charter, Regulations on the Board of Directors of “Samruk-Energy” JSC, the Republic of Kazakhstan law "On joint-stock companies":</w:t>
      </w:r>
    </w:p>
    <w:p w14:paraId="78A686C6" w14:textId="77777777" w:rsidR="009D5007" w:rsidRDefault="003C7A5D" w:rsidP="00B878D8">
      <w:pPr>
        <w:ind w:firstLine="567"/>
        <w:jc w:val="both"/>
        <w:rPr>
          <w:sz w:val="28"/>
          <w:szCs w:val="28"/>
          <w:lang w:val="en-US"/>
        </w:rPr>
      </w:pPr>
      <w:r w:rsidRPr="003C7A5D">
        <w:rPr>
          <w:sz w:val="28"/>
          <w:szCs w:val="28"/>
          <w:lang w:val="en-US"/>
        </w:rPr>
        <w:t>- Approval of the Report on stakeholder engagement and feedback mechanisms for 2025;</w:t>
      </w:r>
    </w:p>
    <w:p w14:paraId="69006A54" w14:textId="6B7EC05C" w:rsidR="003C7A5D" w:rsidRPr="003C7A5D" w:rsidRDefault="003C7A5D" w:rsidP="009D5007">
      <w:pPr>
        <w:ind w:firstLine="567"/>
        <w:jc w:val="both"/>
        <w:rPr>
          <w:sz w:val="28"/>
          <w:szCs w:val="28"/>
          <w:lang w:val="en-US"/>
        </w:rPr>
      </w:pPr>
      <w:r w:rsidRPr="003C7A5D">
        <w:rPr>
          <w:sz w:val="28"/>
          <w:szCs w:val="28"/>
          <w:lang w:val="en-US"/>
        </w:rPr>
        <w:t xml:space="preserve">- Review of the Report on implementation of the </w:t>
      </w:r>
      <w:r w:rsidR="002A5563" w:rsidRPr="003C7A5D">
        <w:rPr>
          <w:sz w:val="28"/>
          <w:szCs w:val="28"/>
          <w:lang w:val="en-US"/>
        </w:rPr>
        <w:t>roadmap</w:t>
      </w:r>
      <w:r w:rsidRPr="003C7A5D">
        <w:rPr>
          <w:sz w:val="28"/>
          <w:szCs w:val="28"/>
          <w:lang w:val="en-US"/>
        </w:rPr>
        <w:t xml:space="preserve"> for improvement of the Company’s sustainable development management system for 2025–2026 for 2025; Approval of the Roadmap for improvement of the Company’s sustainable development management system for 2026–2027 in a revised version;</w:t>
      </w:r>
    </w:p>
    <w:p w14:paraId="4FFBFD38" w14:textId="7A543B7B" w:rsidR="003C7A5D" w:rsidRPr="003C7A5D" w:rsidRDefault="003C7A5D" w:rsidP="009D500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3C7A5D">
        <w:rPr>
          <w:sz w:val="28"/>
          <w:szCs w:val="28"/>
          <w:lang w:val="en-US"/>
        </w:rPr>
        <w:t>- Approval of the Company’s Anti-Corruption Instruction;</w:t>
      </w:r>
    </w:p>
    <w:p w14:paraId="112E2BFB" w14:textId="72324405" w:rsidR="003C7A5D" w:rsidRPr="003C7A5D" w:rsidRDefault="003C7A5D" w:rsidP="009D500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3C7A5D">
        <w:rPr>
          <w:sz w:val="28"/>
          <w:szCs w:val="28"/>
          <w:lang w:val="en-US"/>
        </w:rPr>
        <w:t xml:space="preserve">- Review of the Report on implementation of the Corruption </w:t>
      </w:r>
      <w:r w:rsidR="002A5563">
        <w:rPr>
          <w:sz w:val="28"/>
          <w:szCs w:val="28"/>
          <w:lang w:val="en-US"/>
        </w:rPr>
        <w:t>r</w:t>
      </w:r>
      <w:r w:rsidRPr="003C7A5D">
        <w:rPr>
          <w:sz w:val="28"/>
          <w:szCs w:val="28"/>
          <w:lang w:val="en-US"/>
        </w:rPr>
        <w:t xml:space="preserve">isk </w:t>
      </w:r>
      <w:r w:rsidR="002A5563">
        <w:rPr>
          <w:sz w:val="28"/>
          <w:szCs w:val="28"/>
          <w:lang w:val="en-US"/>
        </w:rPr>
        <w:t>m</w:t>
      </w:r>
      <w:r w:rsidRPr="003C7A5D">
        <w:rPr>
          <w:sz w:val="28"/>
          <w:szCs w:val="28"/>
          <w:lang w:val="en-US"/>
        </w:rPr>
        <w:t xml:space="preserve">itigation </w:t>
      </w:r>
      <w:r w:rsidR="002A5563">
        <w:rPr>
          <w:sz w:val="28"/>
          <w:szCs w:val="28"/>
          <w:lang w:val="en-US"/>
        </w:rPr>
        <w:t>p</w:t>
      </w:r>
      <w:r w:rsidRPr="003C7A5D">
        <w:rPr>
          <w:sz w:val="28"/>
          <w:szCs w:val="28"/>
          <w:lang w:val="en-US"/>
        </w:rPr>
        <w:t>lan for 2024–2025 for 2025;</w:t>
      </w:r>
    </w:p>
    <w:p w14:paraId="3359FF78" w14:textId="57FBAF6C" w:rsidR="003C7A5D" w:rsidRPr="003C7A5D" w:rsidRDefault="003C7A5D" w:rsidP="009D500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3C7A5D">
        <w:rPr>
          <w:sz w:val="28"/>
          <w:szCs w:val="28"/>
          <w:lang w:val="en-US"/>
        </w:rPr>
        <w:t>- Approval of the Company’s Proactive Disclosure Policy;</w:t>
      </w:r>
    </w:p>
    <w:p w14:paraId="1EAA7CC8" w14:textId="33E0A2CF" w:rsidR="003C7A5D" w:rsidRPr="003C7A5D" w:rsidRDefault="003C7A5D" w:rsidP="009D500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3C7A5D">
        <w:rPr>
          <w:sz w:val="28"/>
          <w:szCs w:val="28"/>
          <w:lang w:val="en-US"/>
        </w:rPr>
        <w:t xml:space="preserve">- Determination of the number of members and term of office of the Board of Directors of “Alatau Zharyk Company” </w:t>
      </w:r>
      <w:r>
        <w:rPr>
          <w:sz w:val="28"/>
          <w:szCs w:val="28"/>
          <w:lang w:val="en-US"/>
        </w:rPr>
        <w:t>JSC</w:t>
      </w:r>
      <w:r w:rsidRPr="003C7A5D">
        <w:rPr>
          <w:sz w:val="28"/>
          <w:szCs w:val="28"/>
          <w:lang w:val="en-US"/>
        </w:rPr>
        <w:t xml:space="preserve">, election of its </w:t>
      </w:r>
      <w:r w:rsidR="009D5007" w:rsidRPr="003C7A5D">
        <w:rPr>
          <w:sz w:val="28"/>
          <w:szCs w:val="28"/>
          <w:lang w:val="en-US"/>
        </w:rPr>
        <w:t>chairperson</w:t>
      </w:r>
      <w:r w:rsidRPr="003C7A5D">
        <w:rPr>
          <w:sz w:val="28"/>
          <w:szCs w:val="28"/>
          <w:lang w:val="en-US"/>
        </w:rPr>
        <w:t xml:space="preserve"> and members, and </w:t>
      </w:r>
      <w:r>
        <w:rPr>
          <w:sz w:val="28"/>
          <w:szCs w:val="28"/>
          <w:lang w:val="en-US"/>
        </w:rPr>
        <w:t>setting</w:t>
      </w:r>
      <w:r w:rsidRPr="003C7A5D">
        <w:rPr>
          <w:sz w:val="28"/>
          <w:szCs w:val="28"/>
          <w:lang w:val="en-US"/>
        </w:rPr>
        <w:t xml:space="preserve"> the amount and terms of remuneration and reimbursement of expenses payable to the members of the Board of Directors of </w:t>
      </w:r>
      <w:r>
        <w:rPr>
          <w:sz w:val="28"/>
          <w:szCs w:val="28"/>
          <w:lang w:val="en-US"/>
        </w:rPr>
        <w:t>“</w:t>
      </w:r>
      <w:r w:rsidRPr="003C7A5D">
        <w:rPr>
          <w:sz w:val="28"/>
          <w:szCs w:val="28"/>
          <w:lang w:val="en-US"/>
        </w:rPr>
        <w:t>Alatau Zharyk Company”</w:t>
      </w:r>
      <w:r>
        <w:rPr>
          <w:sz w:val="28"/>
          <w:szCs w:val="28"/>
          <w:lang w:val="en-US"/>
        </w:rPr>
        <w:t xml:space="preserve"> JSC</w:t>
      </w:r>
      <w:r w:rsidRPr="003C7A5D">
        <w:rPr>
          <w:sz w:val="28"/>
          <w:szCs w:val="28"/>
          <w:lang w:val="en-US"/>
        </w:rPr>
        <w:t xml:space="preserve"> for performance of their </w:t>
      </w:r>
      <w:r>
        <w:rPr>
          <w:sz w:val="28"/>
          <w:szCs w:val="28"/>
          <w:lang w:val="en-US"/>
        </w:rPr>
        <w:t>job responsibilities</w:t>
      </w:r>
      <w:r w:rsidRPr="003C7A5D">
        <w:rPr>
          <w:sz w:val="28"/>
          <w:szCs w:val="28"/>
          <w:lang w:val="en-US"/>
        </w:rPr>
        <w:t>;</w:t>
      </w:r>
    </w:p>
    <w:p w14:paraId="0D81C480" w14:textId="45BE079D" w:rsidR="003C7A5D" w:rsidRPr="003C7A5D" w:rsidRDefault="003C7A5D" w:rsidP="009D500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Pr="003C7A5D">
        <w:rPr>
          <w:sz w:val="28"/>
          <w:szCs w:val="28"/>
          <w:lang w:val="en-US"/>
        </w:rPr>
        <w:t xml:space="preserve"> Early termination of powers and election of the Chairperson of the Supervisory Board of “Energy Solutions Center”</w:t>
      </w:r>
      <w:r>
        <w:rPr>
          <w:sz w:val="28"/>
          <w:szCs w:val="28"/>
          <w:lang w:val="en-US"/>
        </w:rPr>
        <w:t xml:space="preserve"> LLP</w:t>
      </w:r>
      <w:r w:rsidRPr="003C7A5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setting</w:t>
      </w:r>
      <w:r w:rsidRPr="003C7A5D">
        <w:rPr>
          <w:sz w:val="28"/>
          <w:szCs w:val="28"/>
          <w:lang w:val="en-US"/>
        </w:rPr>
        <w:t xml:space="preserve"> the term of office, and determination of the terms of remuneration and reimbursement of expenses for performance of their </w:t>
      </w:r>
      <w:r>
        <w:rPr>
          <w:sz w:val="28"/>
          <w:szCs w:val="28"/>
          <w:lang w:val="en-US"/>
        </w:rPr>
        <w:t xml:space="preserve">job responsibilities. </w:t>
      </w:r>
    </w:p>
    <w:p w14:paraId="779C123E" w14:textId="77777777" w:rsidR="00B878D8" w:rsidRDefault="00B878D8" w:rsidP="00B878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Review of the Report on compliance/non-compliance with the principles and provisions of the Company’s Corporate Governance Code for 2025;</w:t>
      </w:r>
    </w:p>
    <w:p w14:paraId="3974DC38" w14:textId="1FE721DA" w:rsidR="00B878D8" w:rsidRPr="00B878D8" w:rsidRDefault="00B878D8" w:rsidP="00B878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Amendments and additions to the Regulations on the Board of Directors of the Company</w:t>
      </w:r>
      <w:r w:rsidRPr="00B878D8">
        <w:rPr>
          <w:sz w:val="28"/>
          <w:szCs w:val="28"/>
          <w:lang w:val="en-US"/>
        </w:rPr>
        <w:t>.</w:t>
      </w:r>
    </w:p>
    <w:p w14:paraId="683393FF" w14:textId="77777777" w:rsidR="00947623" w:rsidRPr="003C7A5D" w:rsidRDefault="00947623" w:rsidP="009D5007">
      <w:pPr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</w:p>
    <w:p w14:paraId="25E4A1EC" w14:textId="77777777" w:rsidR="009D5007" w:rsidRDefault="003C7A5D" w:rsidP="009D5007">
      <w:pPr>
        <w:ind w:firstLine="709"/>
        <w:rPr>
          <w:rFonts w:eastAsiaTheme="minorHAnsi"/>
          <w:b/>
          <w:bCs/>
          <w:sz w:val="28"/>
          <w:szCs w:val="28"/>
          <w:lang w:val="en-US" w:eastAsia="en-US"/>
        </w:rPr>
      </w:pPr>
      <w:r w:rsidRPr="003C7A5D">
        <w:rPr>
          <w:rFonts w:eastAsiaTheme="minorHAnsi"/>
          <w:b/>
          <w:bCs/>
          <w:sz w:val="28"/>
          <w:szCs w:val="28"/>
          <w:lang w:val="en-US" w:eastAsia="en-US"/>
        </w:rPr>
        <w:t xml:space="preserve">The following members of the Board of Directors voted: </w:t>
      </w:r>
      <w:r w:rsidRPr="003C7A5D">
        <w:rPr>
          <w:rFonts w:eastAsiaTheme="minorHAnsi"/>
          <w:b/>
          <w:bCs/>
          <w:sz w:val="28"/>
          <w:szCs w:val="28"/>
          <w:lang w:val="en-US" w:eastAsia="en-US"/>
        </w:rPr>
        <w:br/>
      </w:r>
      <w:r w:rsidR="009D5007" w:rsidRPr="009D5007">
        <w:rPr>
          <w:rFonts w:eastAsiaTheme="minorHAnsi"/>
          <w:b/>
          <w:bCs/>
          <w:sz w:val="28"/>
          <w:szCs w:val="28"/>
          <w:lang w:val="en-US" w:eastAsia="en-US"/>
        </w:rPr>
        <w:t xml:space="preserve">          </w:t>
      </w:r>
      <w:r w:rsidRPr="003C7A5D">
        <w:rPr>
          <w:rFonts w:eastAsiaTheme="minorHAnsi"/>
          <w:b/>
          <w:bCs/>
          <w:sz w:val="28"/>
          <w:szCs w:val="28"/>
          <w:lang w:val="en-US" w:eastAsia="en-US"/>
        </w:rPr>
        <w:t xml:space="preserve">Kazutin N.Yu., Ogay A.V., Moldabaev K.T., Maxutov K.B., </w:t>
      </w:r>
      <w:r w:rsidR="009D5007" w:rsidRPr="009D5007">
        <w:rPr>
          <w:rFonts w:eastAsiaTheme="minorHAnsi"/>
          <w:b/>
          <w:bCs/>
          <w:sz w:val="28"/>
          <w:szCs w:val="28"/>
          <w:lang w:val="en-US" w:eastAsia="en-US"/>
        </w:rPr>
        <w:t xml:space="preserve">          </w:t>
      </w:r>
    </w:p>
    <w:p w14:paraId="066E46CD" w14:textId="32B0060B" w:rsidR="003C7A5D" w:rsidRPr="003C7A5D" w:rsidRDefault="003C7A5D" w:rsidP="009D5007">
      <w:pPr>
        <w:ind w:firstLine="709"/>
        <w:rPr>
          <w:rFonts w:eastAsiaTheme="minorHAnsi"/>
          <w:b/>
          <w:bCs/>
          <w:sz w:val="28"/>
          <w:szCs w:val="28"/>
          <w:lang w:val="en-US" w:eastAsia="en-US"/>
        </w:rPr>
      </w:pPr>
      <w:r w:rsidRPr="003C7A5D">
        <w:rPr>
          <w:rFonts w:eastAsiaTheme="minorHAnsi"/>
          <w:b/>
          <w:bCs/>
          <w:sz w:val="28"/>
          <w:szCs w:val="28"/>
          <w:lang w:val="en-US" w:eastAsia="en-US"/>
        </w:rPr>
        <w:t>Kashkinbekov A.K., Zhubaev A.S., Atamkulova G.T.</w:t>
      </w:r>
    </w:p>
    <w:p w14:paraId="5FB82D22" w14:textId="77777777" w:rsidR="00230958" w:rsidRPr="003C7A5D" w:rsidRDefault="00230958" w:rsidP="009D5007">
      <w:pPr>
        <w:rPr>
          <w:lang w:val="en-US"/>
        </w:rPr>
      </w:pPr>
    </w:p>
    <w:sectPr w:rsidR="00230958" w:rsidRPr="003C7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23"/>
    <w:rsid w:val="00230958"/>
    <w:rsid w:val="002A5563"/>
    <w:rsid w:val="003C7A5D"/>
    <w:rsid w:val="00947623"/>
    <w:rsid w:val="009D5007"/>
    <w:rsid w:val="00B8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58F4"/>
  <w15:chartTrackingRefBased/>
  <w15:docId w15:val="{5D2C8B72-5F7C-493B-88CC-88C95E68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A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6</cp:revision>
  <dcterms:created xsi:type="dcterms:W3CDTF">2026-02-20T09:25:00Z</dcterms:created>
  <dcterms:modified xsi:type="dcterms:W3CDTF">2026-02-25T04:28:00Z</dcterms:modified>
</cp:coreProperties>
</file>