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6BEE" w14:textId="2FF790E4" w:rsidR="00BD7134" w:rsidRPr="00BD7134" w:rsidRDefault="00EB28F9" w:rsidP="00347665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7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BD7134" w:rsidRPr="00BD7134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meeting of the Board of Directors dated June 2, 2026.</w:t>
      </w:r>
    </w:p>
    <w:p w14:paraId="67930257" w14:textId="77777777" w:rsidR="00BD7134" w:rsidRPr="00BD7134" w:rsidRDefault="00BD7134" w:rsidP="00BD7134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7134">
        <w:rPr>
          <w:rFonts w:ascii="Times New Roman" w:hAnsi="Times New Roman" w:cs="Times New Roman"/>
          <w:sz w:val="28"/>
          <w:szCs w:val="28"/>
          <w:lang w:val="en-US"/>
        </w:rPr>
        <w:t>The Company’s Board of Directors addressed the following agenda items on June 2, 2026, in accordance with “Samruk-Energy” JSC Charter, Regulations on the Board of Directors of “Samruk-Energy” JSC, the Republic of Kazakhstan law "On joint-stock companies":</w:t>
      </w:r>
    </w:p>
    <w:p w14:paraId="5650B5A0" w14:textId="575C9B0E" w:rsidR="00BD7134" w:rsidRPr="00BD7134" w:rsidRDefault="00BD7134" w:rsidP="00BD7134">
      <w:pPr>
        <w:pStyle w:val="a4"/>
        <w:numPr>
          <w:ilvl w:val="0"/>
          <w:numId w:val="3"/>
        </w:numPr>
        <w:spacing w:line="252" w:lineRule="auto"/>
        <w:ind w:left="0" w:firstLine="709"/>
        <w:jc w:val="both"/>
        <w:rPr>
          <w:sz w:val="28"/>
          <w:szCs w:val="28"/>
          <w:lang w:val="en-US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Approval of the Company’s interim financial statements as at 31 March 2026; </w:t>
      </w:r>
    </w:p>
    <w:p w14:paraId="7154A8BE" w14:textId="1BA18B6D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Approval of individual development plans for the Chairman and members of the Company’s Management Board for 2026; </w:t>
      </w:r>
    </w:p>
    <w:p w14:paraId="57DA7742" w14:textId="4BFD9DDD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Approval of the Company’s Human Resources Policy for 2026–2033; </w:t>
      </w:r>
    </w:p>
    <w:p w14:paraId="731E1117" w14:textId="42CF89BC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Review of the Report on the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performance</w:t>
      </w: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of the Corporate Governance Code Implementation Plan across the Company’s group for 2025; </w:t>
      </w:r>
    </w:p>
    <w:p w14:paraId="638291B2" w14:textId="75FD17FA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Review of the report on the implementation of the roadmap for improving the Company’s sustainable development management system for 2026–2027 for Q1 2026; </w:t>
      </w:r>
    </w:p>
    <w:p w14:paraId="231C3AB3" w14:textId="56EEE3DC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Approval of the Report on the implementation of the Company’s Sustainable Development Initiatives Plan for 2022–2026 for 2025, and approval of the revised Sustainable Development Initiatives Plan for 2026–2030; </w:t>
      </w:r>
    </w:p>
    <w:p w14:paraId="0D04A120" w14:textId="3B14221E" w:rsidR="00BD7134" w:rsidRPr="00BD7134" w:rsidRDefault="00BD7134" w:rsidP="00BD713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Determination of the position of the Company’s representatives on the agenda items of the forthcoming Extraordinary General Meeting of Shareholders of Ust-Kamenogorsk Hydroelectric Power Plant: (1) liquidation of Ust-Kamenogorsk Hydroelectric Power Plant of Qazaq Green Power PLC, election of Board members, and determination of their term of office, remuneration, and compensation conditions; </w:t>
      </w:r>
    </w:p>
    <w:p w14:paraId="410180A8" w14:textId="77777777" w:rsidR="00B6234F" w:rsidRDefault="00BD7134" w:rsidP="00EB28F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Approval of the Integrated Annual Report on the Company’s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operating results</w:t>
      </w:r>
      <w:r w:rsidRPr="00BD71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for 2025; </w:t>
      </w:r>
    </w:p>
    <w:p w14:paraId="46647780" w14:textId="71B184D8" w:rsidR="00BD7134" w:rsidRDefault="00B6234F" w:rsidP="00EB28F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623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Reallocation of funds between consultancy services budget lines within the approved 2026 budget, aligned with the Company’s Development Plan (Business Plan) for 2026–2030.</w:t>
      </w:r>
    </w:p>
    <w:p w14:paraId="42424E2D" w14:textId="7A5E14AE" w:rsidR="00B6234F" w:rsidRDefault="00B6234F" w:rsidP="00B62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064C424A" w14:textId="77777777" w:rsidR="00B6234F" w:rsidRPr="00B6234F" w:rsidRDefault="00B6234F" w:rsidP="00B623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46DB5454" w14:textId="77777777" w:rsidR="00347665" w:rsidRDefault="00BD7134" w:rsidP="0034766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D713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The following members of the Board of Directors voted: </w:t>
      </w:r>
      <w:r w:rsidRPr="00BD713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br/>
      </w:r>
      <w:r w:rsidR="00347665" w:rsidRPr="0034766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Pr="00BD713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Kazutin N.Yu., Ogay A.V., Moldabaev K.T., Maxutov K.B., </w:t>
      </w:r>
    </w:p>
    <w:p w14:paraId="1D36F9F2" w14:textId="64E1D5FE" w:rsidR="00EB28F9" w:rsidRPr="00BD7134" w:rsidRDefault="00BD7134" w:rsidP="0034766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713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Kashkinbekov A.K., Zhubaev A.S.</w:t>
      </w:r>
    </w:p>
    <w:p w14:paraId="3C4D7A92" w14:textId="77777777" w:rsidR="00190D8D" w:rsidRPr="00BD7134" w:rsidRDefault="00190D8D">
      <w:pPr>
        <w:rPr>
          <w:lang w:val="en-US"/>
        </w:rPr>
      </w:pPr>
    </w:p>
    <w:sectPr w:rsidR="00190D8D" w:rsidRPr="00BD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22A"/>
    <w:multiLevelType w:val="hybridMultilevel"/>
    <w:tmpl w:val="081436DC"/>
    <w:lvl w:ilvl="0" w:tplc="A61CF29C">
      <w:numFmt w:val="bullet"/>
      <w:lvlText w:val="-"/>
      <w:lvlJc w:val="left"/>
      <w:pPr>
        <w:ind w:left="149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37C6715C"/>
    <w:multiLevelType w:val="hybridMultilevel"/>
    <w:tmpl w:val="6FA21138"/>
    <w:lvl w:ilvl="0" w:tplc="CB66C1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CF2938"/>
    <w:multiLevelType w:val="hybridMultilevel"/>
    <w:tmpl w:val="09B84C4A"/>
    <w:lvl w:ilvl="0" w:tplc="899CC618">
      <w:numFmt w:val="bullet"/>
      <w:lvlText w:val=""/>
      <w:lvlJc w:val="left"/>
      <w:pPr>
        <w:ind w:left="1032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9"/>
    <w:rsid w:val="00190D8D"/>
    <w:rsid w:val="00347665"/>
    <w:rsid w:val="00B6234F"/>
    <w:rsid w:val="00BD7134"/>
    <w:rsid w:val="00E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A41E"/>
  <w15:chartTrackingRefBased/>
  <w15:docId w15:val="{40A50CCE-59F2-4BA9-B103-081CE286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F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8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7134"/>
    <w:pPr>
      <w:ind w:left="720"/>
      <w:contextualSpacing/>
    </w:pPr>
  </w:style>
  <w:style w:type="character" w:styleId="a5">
    <w:name w:val="Strong"/>
    <w:basedOn w:val="a0"/>
    <w:uiPriority w:val="22"/>
    <w:qFormat/>
    <w:rsid w:val="00B62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2026-05-22T10:25:00Z</dcterms:created>
  <dcterms:modified xsi:type="dcterms:W3CDTF">2026-05-25T07:01:00Z</dcterms:modified>
</cp:coreProperties>
</file>