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27FAD0" w14:textId="0778D58E" w:rsidR="00905311" w:rsidRDefault="00905311" w:rsidP="00204747">
      <w:pPr>
        <w:pStyle w:val="a4"/>
        <w:ind w:left="0" w:firstLine="567"/>
        <w:jc w:val="both"/>
        <w:rPr>
          <w:rFonts w:eastAsia="Calibri"/>
          <w:b/>
          <w:bCs/>
          <w:sz w:val="28"/>
          <w:szCs w:val="28"/>
          <w:lang w:val="en-US"/>
        </w:rPr>
      </w:pPr>
      <w:bookmarkStart w:id="0" w:name="_Hlk222215875"/>
      <w:r>
        <w:rPr>
          <w:rFonts w:eastAsia="Calibri"/>
          <w:b/>
          <w:bCs/>
          <w:sz w:val="28"/>
          <w:szCs w:val="28"/>
          <w:lang w:val="en-US"/>
        </w:rPr>
        <w:t>The meeting of the Board of Directors dated October 8, 2026.</w:t>
      </w:r>
    </w:p>
    <w:p w14:paraId="17CDAE1E" w14:textId="77777777" w:rsidR="00905311" w:rsidRDefault="00905311" w:rsidP="00204747">
      <w:pPr>
        <w:pStyle w:val="a4"/>
        <w:ind w:left="0" w:firstLine="567"/>
        <w:jc w:val="both"/>
        <w:rPr>
          <w:rFonts w:eastAsia="Calibri"/>
          <w:sz w:val="28"/>
          <w:szCs w:val="28"/>
          <w:lang w:val="en-US"/>
        </w:rPr>
      </w:pPr>
    </w:p>
    <w:p w14:paraId="489D8359" w14:textId="444618FF" w:rsidR="00905311" w:rsidRDefault="00905311" w:rsidP="00204747">
      <w:pPr>
        <w:pStyle w:val="a4"/>
        <w:ind w:left="0" w:firstLine="567"/>
        <w:jc w:val="both"/>
        <w:rPr>
          <w:rFonts w:eastAsia="Calibri"/>
          <w:sz w:val="28"/>
          <w:szCs w:val="28"/>
          <w:lang w:val="en-US"/>
        </w:rPr>
      </w:pPr>
      <w:r>
        <w:rPr>
          <w:rFonts w:eastAsia="Calibri"/>
          <w:sz w:val="28"/>
          <w:szCs w:val="28"/>
          <w:lang w:val="en-US"/>
        </w:rPr>
        <w:t>The Company’s Board of Directors addressed the following agenda items on October 8, 2026, in accordance with “Samruk-Energy” JSC Charter, Regulations on the Board of Directors of “Samruk-Energy” JSC, the Republic of Kazakhstan law "On joint-stock companies":</w:t>
      </w:r>
      <w:bookmarkEnd w:id="0"/>
    </w:p>
    <w:p w14:paraId="03BBD838" w14:textId="4EB13B0E" w:rsidR="00D94734" w:rsidRPr="00905311" w:rsidRDefault="00D94734" w:rsidP="00204747">
      <w:pPr>
        <w:pStyle w:val="a3"/>
        <w:numPr>
          <w:ilvl w:val="0"/>
          <w:numId w:val="2"/>
        </w:numPr>
        <w:spacing w:before="0" w:beforeAutospacing="0" w:after="0" w:afterAutospacing="0"/>
        <w:ind w:left="0" w:firstLine="567"/>
        <w:jc w:val="both"/>
        <w:rPr>
          <w:sz w:val="28"/>
          <w:szCs w:val="28"/>
          <w:lang w:val="en-US"/>
        </w:rPr>
      </w:pPr>
      <w:r w:rsidRPr="00905311">
        <w:rPr>
          <w:sz w:val="28"/>
          <w:szCs w:val="28"/>
          <w:lang w:val="en-US"/>
        </w:rPr>
        <w:t xml:space="preserve">Information on the following projects: “Reconstruction of Almaty CHP-3”, “Construction of a combined heat and power plant in Kokshetau”, “Construction of a combined heat and </w:t>
      </w:r>
      <w:r w:rsidR="00392D0E" w:rsidRPr="00905311">
        <w:rPr>
          <w:sz w:val="28"/>
          <w:szCs w:val="28"/>
          <w:lang w:val="en-US"/>
        </w:rPr>
        <w:t>p</w:t>
      </w:r>
      <w:r w:rsidRPr="00905311">
        <w:rPr>
          <w:sz w:val="28"/>
          <w:szCs w:val="28"/>
          <w:lang w:val="en-US"/>
        </w:rPr>
        <w:t xml:space="preserve">ower </w:t>
      </w:r>
      <w:r w:rsidR="00392D0E" w:rsidRPr="00905311">
        <w:rPr>
          <w:sz w:val="28"/>
          <w:szCs w:val="28"/>
          <w:lang w:val="en-US"/>
        </w:rPr>
        <w:t>p</w:t>
      </w:r>
      <w:r w:rsidRPr="00905311">
        <w:rPr>
          <w:sz w:val="28"/>
          <w:szCs w:val="28"/>
          <w:lang w:val="en-US"/>
        </w:rPr>
        <w:t xml:space="preserve">lant in Semey”, and “Construction of a </w:t>
      </w:r>
      <w:r w:rsidR="00392D0E" w:rsidRPr="00905311">
        <w:rPr>
          <w:sz w:val="28"/>
          <w:szCs w:val="28"/>
          <w:lang w:val="en-US"/>
        </w:rPr>
        <w:t>c</w:t>
      </w:r>
      <w:r w:rsidRPr="00905311">
        <w:rPr>
          <w:sz w:val="28"/>
          <w:szCs w:val="28"/>
          <w:lang w:val="en-US"/>
        </w:rPr>
        <w:t xml:space="preserve">ombined </w:t>
      </w:r>
      <w:r w:rsidR="00392D0E" w:rsidRPr="00905311">
        <w:rPr>
          <w:sz w:val="28"/>
          <w:szCs w:val="28"/>
          <w:lang w:val="en-US"/>
        </w:rPr>
        <w:t>h</w:t>
      </w:r>
      <w:r w:rsidRPr="00905311">
        <w:rPr>
          <w:sz w:val="28"/>
          <w:szCs w:val="28"/>
          <w:lang w:val="en-US"/>
        </w:rPr>
        <w:t xml:space="preserve">eat and </w:t>
      </w:r>
      <w:r w:rsidR="00392D0E" w:rsidRPr="00905311">
        <w:rPr>
          <w:sz w:val="28"/>
          <w:szCs w:val="28"/>
          <w:lang w:val="en-US"/>
        </w:rPr>
        <w:t>p</w:t>
      </w:r>
      <w:r w:rsidRPr="00905311">
        <w:rPr>
          <w:sz w:val="28"/>
          <w:szCs w:val="28"/>
          <w:lang w:val="en-US"/>
        </w:rPr>
        <w:t xml:space="preserve">ower </w:t>
      </w:r>
      <w:r w:rsidR="00392D0E" w:rsidRPr="00905311">
        <w:rPr>
          <w:sz w:val="28"/>
          <w:szCs w:val="28"/>
          <w:lang w:val="en-US"/>
        </w:rPr>
        <w:t>p</w:t>
      </w:r>
      <w:r w:rsidRPr="00905311">
        <w:rPr>
          <w:sz w:val="28"/>
          <w:szCs w:val="28"/>
          <w:lang w:val="en-US"/>
        </w:rPr>
        <w:t>lant in Ust-Kamenogorsk”;</w:t>
      </w:r>
    </w:p>
    <w:p w14:paraId="55A4DA72" w14:textId="503A2CEA" w:rsidR="00D94734" w:rsidRPr="00905311" w:rsidRDefault="00D94734" w:rsidP="00204747">
      <w:pPr>
        <w:pStyle w:val="a3"/>
        <w:numPr>
          <w:ilvl w:val="0"/>
          <w:numId w:val="2"/>
        </w:numPr>
        <w:spacing w:before="0" w:beforeAutospacing="0" w:after="0" w:afterAutospacing="0"/>
        <w:ind w:left="0" w:firstLine="567"/>
        <w:jc w:val="both"/>
        <w:rPr>
          <w:sz w:val="28"/>
          <w:szCs w:val="28"/>
          <w:lang w:val="en-US"/>
        </w:rPr>
      </w:pPr>
      <w:r w:rsidRPr="00905311">
        <w:rPr>
          <w:sz w:val="28"/>
          <w:szCs w:val="28"/>
          <w:lang w:val="en-US"/>
        </w:rPr>
        <w:t xml:space="preserve">The Company’s entry into a Guarantee Agreement with the European Bank for Reconstruction and Development and the Company’s entry into a Guarantee and Reimbursement Agreement with </w:t>
      </w:r>
      <w:r w:rsidR="00392D0E" w:rsidRPr="00905311">
        <w:rPr>
          <w:sz w:val="28"/>
          <w:szCs w:val="28"/>
          <w:lang w:val="en-US"/>
        </w:rPr>
        <w:t>AZhC</w:t>
      </w:r>
      <w:r w:rsidRPr="00905311">
        <w:rPr>
          <w:sz w:val="28"/>
          <w:szCs w:val="28"/>
          <w:lang w:val="en-US"/>
        </w:rPr>
        <w:t xml:space="preserve"> JSC;</w:t>
      </w:r>
    </w:p>
    <w:p w14:paraId="305D33B0" w14:textId="3EEED7CF" w:rsidR="00D94734" w:rsidRPr="00905311" w:rsidRDefault="00D94734" w:rsidP="00204747">
      <w:pPr>
        <w:pStyle w:val="a3"/>
        <w:numPr>
          <w:ilvl w:val="0"/>
          <w:numId w:val="2"/>
        </w:numPr>
        <w:spacing w:before="0" w:beforeAutospacing="0" w:after="0" w:afterAutospacing="0"/>
        <w:ind w:left="0" w:firstLine="567"/>
        <w:jc w:val="both"/>
        <w:rPr>
          <w:sz w:val="28"/>
          <w:szCs w:val="28"/>
          <w:lang w:val="en-US"/>
        </w:rPr>
      </w:pPr>
      <w:r w:rsidRPr="00905311">
        <w:rPr>
          <w:sz w:val="28"/>
          <w:szCs w:val="28"/>
          <w:lang w:val="en-US"/>
        </w:rPr>
        <w:t xml:space="preserve">Amendments to the terms of the </w:t>
      </w:r>
      <w:r w:rsidR="00392D0E" w:rsidRPr="00905311">
        <w:rPr>
          <w:sz w:val="28"/>
          <w:szCs w:val="28"/>
          <w:lang w:val="en-US"/>
        </w:rPr>
        <w:t>liquidity management program</w:t>
      </w:r>
      <w:r w:rsidRPr="00905311">
        <w:rPr>
          <w:sz w:val="28"/>
          <w:szCs w:val="28"/>
          <w:lang w:val="en-US"/>
        </w:rPr>
        <w:t xml:space="preserve"> for the Company’s Group on the Astana International Exchange;</w:t>
      </w:r>
    </w:p>
    <w:p w14:paraId="75034DBD" w14:textId="1ACA3443" w:rsidR="00966EE7" w:rsidRDefault="00966EE7" w:rsidP="00204747">
      <w:pPr>
        <w:pStyle w:val="a3"/>
        <w:numPr>
          <w:ilvl w:val="0"/>
          <w:numId w:val="2"/>
        </w:numPr>
        <w:ind w:left="0" w:firstLine="567"/>
        <w:jc w:val="both"/>
        <w:rPr>
          <w:sz w:val="28"/>
          <w:szCs w:val="28"/>
          <w:lang w:val="en-US"/>
        </w:rPr>
      </w:pPr>
      <w:r w:rsidRPr="00966EE7">
        <w:rPr>
          <w:sz w:val="28"/>
          <w:szCs w:val="28"/>
          <w:lang w:val="en-US"/>
        </w:rPr>
        <w:t>Certain matters concerning the issuance and placement of the Company’s bonds, including their listing and/or admission to trading on the Hong Kong Stock Exchange (HKEX) and the Astana International Exchange (AIX);</w:t>
      </w:r>
    </w:p>
    <w:p w14:paraId="30CBABB0" w14:textId="26E6882F" w:rsidR="00905311" w:rsidRPr="00905311" w:rsidRDefault="00905311" w:rsidP="00204747">
      <w:pPr>
        <w:pStyle w:val="a3"/>
        <w:numPr>
          <w:ilvl w:val="0"/>
          <w:numId w:val="2"/>
        </w:numPr>
        <w:ind w:left="0" w:firstLine="567"/>
        <w:jc w:val="both"/>
        <w:rPr>
          <w:sz w:val="28"/>
          <w:szCs w:val="28"/>
          <w:lang w:val="en-US"/>
        </w:rPr>
      </w:pPr>
      <w:r w:rsidRPr="00905311">
        <w:rPr>
          <w:sz w:val="28"/>
          <w:szCs w:val="28"/>
          <w:lang w:val="en-US"/>
        </w:rPr>
        <w:t>Determination of the Company’s position for its representatives on the following agenda item of the extraordinary general meeting of participants of Semey Energo LLP: “Early termination of the powers of a member of the Supervisory Board of Semey Energo LLP; election of a member of the Supervisory Board of Semey Energo LLP; setting his term of office and the amount and terms of his compensation, as well as reimbursement of expenses incurred in the performance of his duties”;</w:t>
      </w:r>
    </w:p>
    <w:p w14:paraId="10864BAB" w14:textId="77777777" w:rsidR="00905311" w:rsidRPr="00905311" w:rsidRDefault="00905311" w:rsidP="00204747">
      <w:pPr>
        <w:pStyle w:val="a3"/>
        <w:numPr>
          <w:ilvl w:val="0"/>
          <w:numId w:val="2"/>
        </w:numPr>
        <w:ind w:left="0" w:firstLine="567"/>
        <w:jc w:val="both"/>
        <w:rPr>
          <w:sz w:val="28"/>
          <w:szCs w:val="28"/>
          <w:lang w:val="en-US"/>
        </w:rPr>
      </w:pPr>
      <w:r w:rsidRPr="00905311">
        <w:rPr>
          <w:sz w:val="28"/>
          <w:szCs w:val="28"/>
          <w:lang w:val="en-US"/>
        </w:rPr>
        <w:t>Determination of the Company’s position for its representatives on the following agenda item of the extraordinary general meeting of participants of Oskemen Energo LLP: “Early termination of the powers of a member of the Supervisory Board of Oskemen Energo LLP; election of a member of the Supervisory Board of Oskemen Energo LLP; setting his term of office and the amount and terms of his compensation, as well as reimbursement of expenses incurred in the performance of his duties”;</w:t>
      </w:r>
    </w:p>
    <w:p w14:paraId="53ECA78A" w14:textId="037DFAC4" w:rsidR="00D94734" w:rsidRPr="00905311" w:rsidRDefault="00D94734" w:rsidP="00204747">
      <w:pPr>
        <w:pStyle w:val="a3"/>
        <w:numPr>
          <w:ilvl w:val="0"/>
          <w:numId w:val="2"/>
        </w:numPr>
        <w:spacing w:before="0" w:beforeAutospacing="0" w:after="0" w:afterAutospacing="0"/>
        <w:ind w:left="0" w:firstLine="567"/>
        <w:jc w:val="both"/>
        <w:rPr>
          <w:sz w:val="28"/>
          <w:szCs w:val="28"/>
          <w:lang w:val="en-US"/>
        </w:rPr>
      </w:pPr>
      <w:r w:rsidRPr="00905311">
        <w:rPr>
          <w:sz w:val="28"/>
          <w:szCs w:val="28"/>
          <w:lang w:val="en-US"/>
        </w:rPr>
        <w:t xml:space="preserve">Approval of the Company’s </w:t>
      </w:r>
      <w:r w:rsidR="00905311" w:rsidRPr="00905311">
        <w:rPr>
          <w:sz w:val="28"/>
          <w:szCs w:val="28"/>
          <w:lang w:val="en-US"/>
        </w:rPr>
        <w:t>sustainable development</w:t>
      </w:r>
      <w:r w:rsidR="00392D0E" w:rsidRPr="00905311">
        <w:rPr>
          <w:sz w:val="28"/>
          <w:szCs w:val="28"/>
          <w:lang w:val="en-US"/>
        </w:rPr>
        <w:t xml:space="preserve"> g</w:t>
      </w:r>
      <w:r w:rsidRPr="00905311">
        <w:rPr>
          <w:sz w:val="28"/>
          <w:szCs w:val="28"/>
          <w:lang w:val="en-US"/>
        </w:rPr>
        <w:t>uidelines in a new edition;</w:t>
      </w:r>
    </w:p>
    <w:p w14:paraId="38E43D76" w14:textId="77777777" w:rsidR="00D94734" w:rsidRPr="00905311" w:rsidRDefault="00D94734" w:rsidP="00204747">
      <w:pPr>
        <w:pStyle w:val="a3"/>
        <w:numPr>
          <w:ilvl w:val="0"/>
          <w:numId w:val="2"/>
        </w:numPr>
        <w:spacing w:before="0" w:beforeAutospacing="0" w:after="0" w:afterAutospacing="0"/>
        <w:ind w:left="0" w:firstLine="567"/>
        <w:jc w:val="both"/>
        <w:rPr>
          <w:sz w:val="28"/>
          <w:szCs w:val="28"/>
          <w:lang w:val="en-US"/>
        </w:rPr>
      </w:pPr>
      <w:r w:rsidRPr="00905311">
        <w:rPr>
          <w:sz w:val="28"/>
          <w:szCs w:val="28"/>
          <w:lang w:val="en-US"/>
        </w:rPr>
        <w:t>Personnel matters relating to the Company’s Internal Audit Service;</w:t>
      </w:r>
    </w:p>
    <w:p w14:paraId="2716BA06" w14:textId="25BB9873" w:rsidR="00D94734" w:rsidRPr="00905311" w:rsidRDefault="00D94734" w:rsidP="00204747">
      <w:pPr>
        <w:pStyle w:val="a3"/>
        <w:numPr>
          <w:ilvl w:val="0"/>
          <w:numId w:val="2"/>
        </w:numPr>
        <w:spacing w:before="0" w:beforeAutospacing="0" w:after="0" w:afterAutospacing="0"/>
        <w:ind w:left="0" w:firstLine="567"/>
        <w:jc w:val="both"/>
        <w:rPr>
          <w:sz w:val="28"/>
          <w:szCs w:val="28"/>
          <w:lang w:val="en-US"/>
        </w:rPr>
      </w:pPr>
      <w:r w:rsidRPr="00905311">
        <w:rPr>
          <w:sz w:val="28"/>
          <w:szCs w:val="28"/>
          <w:lang w:val="en-US"/>
        </w:rPr>
        <w:t>Certain matters relating to the Committees of the Company’s Board of Directors</w:t>
      </w:r>
      <w:r w:rsidR="00C4464A" w:rsidRPr="00C4464A">
        <w:rPr>
          <w:sz w:val="28"/>
          <w:szCs w:val="28"/>
          <w:lang w:val="en-US"/>
        </w:rPr>
        <w:t>;</w:t>
      </w:r>
    </w:p>
    <w:p w14:paraId="57D2A567" w14:textId="1D763582" w:rsidR="00136A6A" w:rsidRPr="00A55E38" w:rsidRDefault="002D1744" w:rsidP="002D1744">
      <w:pPr>
        <w:pStyle w:val="a4"/>
        <w:numPr>
          <w:ilvl w:val="0"/>
          <w:numId w:val="4"/>
        </w:numPr>
        <w:ind w:left="0" w:firstLine="567"/>
        <w:jc w:val="both"/>
        <w:rPr>
          <w:bCs/>
          <w:sz w:val="28"/>
          <w:szCs w:val="28"/>
          <w:lang w:val="en-US"/>
        </w:rPr>
      </w:pPr>
      <w:r w:rsidRPr="00A55E38">
        <w:rPr>
          <w:bCs/>
          <w:sz w:val="28"/>
          <w:szCs w:val="28"/>
          <w:lang w:val="en-US"/>
        </w:rPr>
        <w:t>Setting the terms of Samruk-Energy JSC bond issue on the Astana International Exchange platform.</w:t>
      </w:r>
    </w:p>
    <w:p w14:paraId="3F5B20D0" w14:textId="77777777" w:rsidR="002D1744" w:rsidRPr="002D1744" w:rsidRDefault="002D1744" w:rsidP="002D1744">
      <w:pPr>
        <w:pStyle w:val="a4"/>
        <w:ind w:left="927"/>
        <w:jc w:val="both"/>
        <w:rPr>
          <w:b/>
          <w:sz w:val="28"/>
          <w:szCs w:val="28"/>
          <w:lang w:val="en-US"/>
        </w:rPr>
      </w:pPr>
    </w:p>
    <w:p w14:paraId="7D321D68" w14:textId="6DEB8484" w:rsidR="00905311" w:rsidRPr="007D3A3C" w:rsidRDefault="00905311" w:rsidP="00204747">
      <w:pPr>
        <w:spacing w:line="240" w:lineRule="auto"/>
        <w:ind w:firstLine="567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en-US" w:eastAsia="ru-RU"/>
        </w:rPr>
      </w:pPr>
      <w:r w:rsidRPr="007D3A3C">
        <w:rPr>
          <w:rFonts w:ascii="Times New Roman" w:eastAsia="Calibri" w:hAnsi="Times New Roman" w:cs="Times New Roman"/>
          <w:b/>
          <w:bCs/>
          <w:sz w:val="28"/>
          <w:szCs w:val="28"/>
          <w:lang w:val="en-US" w:eastAsia="ru-RU"/>
        </w:rPr>
        <w:t xml:space="preserve">The following members of the Board of Directors 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en-US" w:eastAsia="ru-RU"/>
        </w:rPr>
        <w:t>attended</w:t>
      </w:r>
      <w:r w:rsidRPr="007D3A3C">
        <w:rPr>
          <w:rFonts w:ascii="Times New Roman" w:eastAsia="Calibri" w:hAnsi="Times New Roman" w:cs="Times New Roman"/>
          <w:b/>
          <w:bCs/>
          <w:sz w:val="28"/>
          <w:szCs w:val="28"/>
          <w:lang w:val="en-US" w:eastAsia="ru-RU"/>
        </w:rPr>
        <w:t xml:space="preserve">: </w:t>
      </w:r>
      <w:r w:rsidRPr="007D3A3C">
        <w:rPr>
          <w:rFonts w:ascii="Times New Roman" w:eastAsia="Calibri" w:hAnsi="Times New Roman" w:cs="Times New Roman"/>
          <w:b/>
          <w:bCs/>
          <w:sz w:val="28"/>
          <w:szCs w:val="28"/>
          <w:lang w:val="en-US" w:eastAsia="ru-RU"/>
        </w:rPr>
        <w:br/>
        <w:t>Kazutin N.Yu., Ogay A.V., Moldabaev K.T., Maxutov K.B., Kashkinbekov A.K., Zhubaev A.S.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en-US" w:eastAsia="ru-RU"/>
        </w:rPr>
        <w:t xml:space="preserve">, Turganov D.N. </w:t>
      </w:r>
    </w:p>
    <w:p w14:paraId="2EB9E580" w14:textId="77777777" w:rsidR="001E32A3" w:rsidRPr="00905311" w:rsidRDefault="001E32A3" w:rsidP="00204747">
      <w:pPr>
        <w:spacing w:line="240" w:lineRule="auto"/>
        <w:ind w:firstLine="567"/>
        <w:jc w:val="both"/>
        <w:rPr>
          <w:lang w:val="en-US"/>
        </w:rPr>
      </w:pPr>
    </w:p>
    <w:sectPr w:rsidR="001E32A3" w:rsidRPr="009053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13A9D"/>
    <w:multiLevelType w:val="multilevel"/>
    <w:tmpl w:val="CD7E1032"/>
    <w:lvl w:ilvl="0">
      <w:start w:val="1"/>
      <w:numFmt w:val="bullet"/>
      <w:lvlText w:val="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AA61CA"/>
    <w:multiLevelType w:val="hybridMultilevel"/>
    <w:tmpl w:val="7C3C99CA"/>
    <w:lvl w:ilvl="0" w:tplc="3522CFC6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397F068D"/>
    <w:multiLevelType w:val="multilevel"/>
    <w:tmpl w:val="ECFE8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4245DF8"/>
    <w:multiLevelType w:val="multilevel"/>
    <w:tmpl w:val="85EE5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E63"/>
    <w:rsid w:val="00136A6A"/>
    <w:rsid w:val="001E32A3"/>
    <w:rsid w:val="00204747"/>
    <w:rsid w:val="002D1744"/>
    <w:rsid w:val="002E21D3"/>
    <w:rsid w:val="00365E63"/>
    <w:rsid w:val="00392D0E"/>
    <w:rsid w:val="00905311"/>
    <w:rsid w:val="00966EE7"/>
    <w:rsid w:val="009F6173"/>
    <w:rsid w:val="00A55E38"/>
    <w:rsid w:val="00C4464A"/>
    <w:rsid w:val="00D94734"/>
    <w:rsid w:val="00F90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39FBD"/>
  <w15:chartTrackingRefBased/>
  <w15:docId w15:val="{96C1B9AE-36D0-4506-A2E0-352628F2F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5E63"/>
    <w:pPr>
      <w:spacing w:line="252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947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90531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083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4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1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383</Words>
  <Characters>2187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Байузакова Айгерим</dc:creator>
  <cp:keywords/>
  <dc:description/>
  <cp:lastModifiedBy>Байузакова Айгерим</cp:lastModifiedBy>
  <cp:revision>11</cp:revision>
  <dcterms:created xsi:type="dcterms:W3CDTF">2026-09-30T09:16:00Z</dcterms:created>
  <dcterms:modified xsi:type="dcterms:W3CDTF">2026-10-08T11:28:00Z</dcterms:modified>
</cp:coreProperties>
</file>