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5" w:rsidRDefault="00B07955" w:rsidP="00B079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C061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January 25</w:t>
      </w:r>
      <w:r w:rsidRPr="00C0616E">
        <w:rPr>
          <w:rFonts w:ascii="Times New Roman" w:hAnsi="Times New Roman" w:cs="Times New Roman"/>
          <w:b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061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7955" w:rsidRPr="00B95F44" w:rsidRDefault="00B07955" w:rsidP="00B0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F44">
        <w:rPr>
          <w:rFonts w:ascii="Times New Roman" w:hAnsi="Times New Roman" w:cs="Times New Roman"/>
          <w:sz w:val="28"/>
          <w:szCs w:val="28"/>
          <w:lang w:val="en-US"/>
        </w:rPr>
        <w:t>The following items were cons</w:t>
      </w:r>
      <w:bookmarkStart w:id="0" w:name="_GoBack"/>
      <w:bookmarkEnd w:id="0"/>
      <w:r w:rsidRPr="00B95F44">
        <w:rPr>
          <w:rFonts w:ascii="Times New Roman" w:hAnsi="Times New Roman" w:cs="Times New Roman"/>
          <w:sz w:val="28"/>
          <w:szCs w:val="28"/>
          <w:lang w:val="en-US"/>
        </w:rPr>
        <w:t xml:space="preserve">idered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January 25, 2018</w:t>
      </w:r>
      <w:r w:rsidRPr="00B95F44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Company’s Charter, the Regulations on the Board of Directors of the Company, the Law of the Republic of Kazakhstan “On Joint-Stock Companies”:</w:t>
      </w:r>
    </w:p>
    <w:p w:rsidR="00B07955" w:rsidRDefault="00B07955" w:rsidP="00B07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 </w:t>
      </w:r>
      <w:r w:rsidRPr="00C061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on implementation of the decisions/instructions from the previous “Samruk-Energy”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 Board of directors meeting;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Methodology on the evaluation of the Board of directors and its Committees, Chairman, members of the Board of directors and corporate secretary of “Samruk-Energy” JSC in new edition.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Report about interested party transactions in respect to which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Samruk-Energy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JSC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 made decisions in the fourth quarter of 2017 year.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of the Appointment and remuneration committee of the Board of directors “Samruk-Energy” JSC for 2017.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of the Audit committee of the Board of directors “Samruk-Energy” JSC for 2017.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of the Strategic planning committee of the Board of directors “Samruk-Energy” JSC for 2017.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eport on implementation of the Action plan for improvement of corporate governance and introduction of «Samruk-Energy» JSC corporate governance Code for 2016-2017 following the results of 2017.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esults of independent corporate governance diagnostics of “Samruk-Energy” JSC and the </w:t>
      </w:r>
      <w:r w:rsidR="0004074D"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corporate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governance improvement plan “Samruk-Energy” JSC.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approval amendments and additions to the Charter of “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Moynak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hydropower plant” JSC.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approval of the Charter </w:t>
      </w:r>
      <w:r w:rsidR="0004074D"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“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Ekibastuz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GRES-1</w:t>
      </w:r>
      <w:r w:rsidR="00040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 in a new edition.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early termination of powers and election of the Chairman of Supervisory Board and the members of Supervisory Board of “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Tegis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Munay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LLP,  on determination of the number members and the term of powers of members of Supervisory Board of “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Tegis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Munay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LLP.</w:t>
      </w:r>
    </w:p>
    <w:p w:rsid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C0E81">
        <w:rPr>
          <w:lang w:val="en-US"/>
        </w:rPr>
        <w:t xml:space="preserve"> 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early termination of powers and election of a member of the Supervisory Board, on determining the term of office of a member of the Supervisory Board of "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Energiya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Semirechie</w:t>
      </w:r>
      <w:proofErr w:type="spellEnd"/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LLP.</w:t>
      </w:r>
    </w:p>
    <w:p w:rsidR="009C0E81" w:rsidRPr="009C0E81" w:rsidRDefault="009C0E81" w:rsidP="009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concerning the Credit Risk in relation to the Counterparty Banks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measures t</w:t>
      </w:r>
      <w:r w:rsidRPr="009C0E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aken by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 of the Company.</w:t>
      </w:r>
    </w:p>
    <w:p w:rsidR="00B07955" w:rsidRDefault="00B07955" w:rsidP="00B07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7955" w:rsidRPr="00B95F44" w:rsidRDefault="00B07955" w:rsidP="00B07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were present: </w:t>
      </w:r>
    </w:p>
    <w:p w:rsidR="00B07955" w:rsidRPr="00B95F44" w:rsidRDefault="00B07955" w:rsidP="00B07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>Bektemirov</w:t>
      </w:r>
      <w:proofErr w:type="spellEnd"/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K.A., Spitsyn A.T., Satkaliyev A.M., Rakhmetov N.K.,</w:t>
      </w:r>
    </w:p>
    <w:p w:rsidR="00B07955" w:rsidRPr="00B95F44" w:rsidRDefault="00B07955" w:rsidP="00B07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Luca Sutera, Andreas Stoerzel</w:t>
      </w:r>
      <w:r w:rsidRPr="00B95F4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07955" w:rsidRPr="00C0616E" w:rsidRDefault="00B07955" w:rsidP="00B079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0C6A" w:rsidRPr="00B07955" w:rsidRDefault="00CF0C6A">
      <w:pPr>
        <w:rPr>
          <w:lang w:val="en-US"/>
        </w:rPr>
      </w:pPr>
    </w:p>
    <w:sectPr w:rsidR="00CF0C6A" w:rsidRPr="00B0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55"/>
    <w:rsid w:val="0004074D"/>
    <w:rsid w:val="00527583"/>
    <w:rsid w:val="009C0E81"/>
    <w:rsid w:val="00B07955"/>
    <w:rsid w:val="00C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D39A-86B5-4E77-9217-8352816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4</cp:revision>
  <dcterms:created xsi:type="dcterms:W3CDTF">2018-01-26T11:08:00Z</dcterms:created>
  <dcterms:modified xsi:type="dcterms:W3CDTF">2018-01-26T11:15:00Z</dcterms:modified>
</cp:coreProperties>
</file>